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Kontuurtabel"/>
        <w:tblW w:w="11335" w:type="dxa"/>
        <w:tblLook w:val="04A0" w:firstRow="1" w:lastRow="0" w:firstColumn="1" w:lastColumn="0" w:noHBand="0" w:noVBand="1"/>
      </w:tblPr>
      <w:tblGrid>
        <w:gridCol w:w="3624"/>
        <w:gridCol w:w="766"/>
        <w:gridCol w:w="283"/>
        <w:gridCol w:w="425"/>
        <w:gridCol w:w="2151"/>
        <w:gridCol w:w="543"/>
        <w:gridCol w:w="3543"/>
      </w:tblGrid>
      <w:tr w:rsidR="00484A61" w14:paraId="08C4B977" w14:textId="77777777" w:rsidTr="00BB342D">
        <w:trPr>
          <w:trHeight w:val="416"/>
        </w:trPr>
        <w:tc>
          <w:tcPr>
            <w:tcW w:w="3624" w:type="dxa"/>
          </w:tcPr>
          <w:p w14:paraId="4B13499E" w14:textId="442F198D" w:rsidR="00484A61" w:rsidRPr="00E93529" w:rsidRDefault="00484A61" w:rsidP="001C0A96">
            <w:pPr>
              <w:rPr>
                <w:b/>
              </w:rPr>
            </w:pPr>
            <w:r w:rsidRPr="00E93529">
              <w:rPr>
                <w:b/>
              </w:rPr>
              <w:t>LÜHIMENETLUSE OTSUS</w:t>
            </w:r>
            <w:r w:rsidR="00B227CD">
              <w:rPr>
                <w:b/>
              </w:rPr>
              <w:t xml:space="preserve"> </w:t>
            </w:r>
          </w:p>
        </w:tc>
        <w:tc>
          <w:tcPr>
            <w:tcW w:w="7711" w:type="dxa"/>
            <w:gridSpan w:val="6"/>
          </w:tcPr>
          <w:p w14:paraId="3DFC07D1" w14:textId="47BB9C11" w:rsidR="00484A61" w:rsidRDefault="00484A61">
            <w:r>
              <w:t>Väärteoasi nr</w:t>
            </w:r>
            <w:r w:rsidR="00786609">
              <w:t xml:space="preserve"> </w:t>
            </w:r>
            <w:r w:rsidR="00786609" w:rsidRPr="008363D1">
              <w:rPr>
                <w:b/>
                <w:bCs/>
                <w:color w:val="FF0000"/>
              </w:rPr>
              <w:t xml:space="preserve"> 1202513</w:t>
            </w:r>
            <w:r w:rsidR="00786054">
              <w:rPr>
                <w:b/>
                <w:bCs/>
                <w:color w:val="FF0000"/>
              </w:rPr>
              <w:t>9</w:t>
            </w:r>
          </w:p>
        </w:tc>
      </w:tr>
      <w:tr w:rsidR="00656D14" w14:paraId="2559A4D5" w14:textId="77777777" w:rsidTr="00BB342D">
        <w:trPr>
          <w:cantSplit/>
          <w:trHeight w:val="286"/>
        </w:trPr>
        <w:tc>
          <w:tcPr>
            <w:tcW w:w="11335" w:type="dxa"/>
            <w:gridSpan w:val="7"/>
            <w:shd w:val="clear" w:color="auto" w:fill="D0CECE" w:themeFill="background2" w:themeFillShade="E6"/>
          </w:tcPr>
          <w:p w14:paraId="7E0BCA37" w14:textId="77777777" w:rsidR="00656D14" w:rsidRPr="00D3472E" w:rsidRDefault="00656D14" w:rsidP="00656D14">
            <w:pPr>
              <w:rPr>
                <w:sz w:val="20"/>
                <w:szCs w:val="20"/>
              </w:rPr>
            </w:pPr>
            <w:r w:rsidRPr="00FE1C0F">
              <w:rPr>
                <w:sz w:val="20"/>
                <w:szCs w:val="20"/>
                <w:highlight w:val="lightGray"/>
              </w:rPr>
              <w:t>KOHTUVÄLINE MENETLEJA</w:t>
            </w:r>
          </w:p>
        </w:tc>
      </w:tr>
      <w:tr w:rsidR="00656D14" w14:paraId="779789DD" w14:textId="77777777" w:rsidTr="00BB342D">
        <w:trPr>
          <w:cantSplit/>
          <w:trHeight w:val="419"/>
        </w:trPr>
        <w:tc>
          <w:tcPr>
            <w:tcW w:w="11335" w:type="dxa"/>
            <w:gridSpan w:val="7"/>
          </w:tcPr>
          <w:p w14:paraId="7B1534CD" w14:textId="4582AFBB" w:rsidR="00656D14" w:rsidRPr="00D3472E" w:rsidRDefault="00913368" w:rsidP="00317B6C">
            <w:pPr>
              <w:rPr>
                <w:sz w:val="20"/>
                <w:szCs w:val="20"/>
              </w:rPr>
            </w:pPr>
            <w:r w:rsidRPr="00D3472E">
              <w:rPr>
                <w:sz w:val="20"/>
                <w:szCs w:val="20"/>
              </w:rPr>
              <w:t xml:space="preserve">Päästeamet registrikood 70000585, Põhja päästekeskus, Erika 3, Tallinn 10416, Tel: 628 </w:t>
            </w:r>
            <w:r>
              <w:rPr>
                <w:sz w:val="20"/>
                <w:szCs w:val="20"/>
              </w:rPr>
              <w:t>20</w:t>
            </w:r>
            <w:r w:rsidRPr="00D3472E">
              <w:rPr>
                <w:sz w:val="20"/>
                <w:szCs w:val="20"/>
              </w:rPr>
              <w:t>00, e-mail: pohja@</w:t>
            </w:r>
            <w:r w:rsidR="00282FE8">
              <w:rPr>
                <w:sz w:val="20"/>
                <w:szCs w:val="20"/>
              </w:rPr>
              <w:t>paasteamet</w:t>
            </w:r>
            <w:r w:rsidRPr="00D3472E">
              <w:rPr>
                <w:sz w:val="20"/>
                <w:szCs w:val="20"/>
              </w:rPr>
              <w:t>.ee</w:t>
            </w:r>
          </w:p>
        </w:tc>
      </w:tr>
      <w:tr w:rsidR="00656D14" w14:paraId="2151AFF5" w14:textId="77777777" w:rsidTr="00246346">
        <w:trPr>
          <w:trHeight w:val="396"/>
        </w:trPr>
        <w:tc>
          <w:tcPr>
            <w:tcW w:w="11335" w:type="dxa"/>
            <w:gridSpan w:val="7"/>
            <w:tcBorders>
              <w:right w:val="single" w:sz="4" w:space="0" w:color="auto"/>
            </w:tcBorders>
          </w:tcPr>
          <w:p w14:paraId="0B90EAFC" w14:textId="49FE3FE8" w:rsidR="00656D14" w:rsidRDefault="00FE1C0F" w:rsidP="00FE1C0F">
            <w:pPr>
              <w:rPr>
                <w:sz w:val="16"/>
                <w:szCs w:val="16"/>
              </w:rPr>
            </w:pPr>
            <w:r w:rsidRPr="003D053C">
              <w:rPr>
                <w:sz w:val="16"/>
                <w:szCs w:val="16"/>
              </w:rPr>
              <w:t>Struktuuriüksus; ametniku ees- ja perekonnanimi</w:t>
            </w:r>
            <w:r w:rsidR="00CF16CD">
              <w:rPr>
                <w:sz w:val="16"/>
                <w:szCs w:val="16"/>
              </w:rPr>
              <w:t>, ametikoht</w:t>
            </w:r>
            <w:r>
              <w:rPr>
                <w:sz w:val="16"/>
                <w:szCs w:val="16"/>
              </w:rPr>
              <w:t>:</w:t>
            </w:r>
          </w:p>
          <w:p w14:paraId="51937739" w14:textId="7E013CB5" w:rsidR="00656D14" w:rsidRPr="008F6025" w:rsidRDefault="00316E49" w:rsidP="00FE1C0F">
            <w:pPr>
              <w:rPr>
                <w:sz w:val="20"/>
                <w:szCs w:val="20"/>
              </w:rPr>
            </w:pPr>
            <w:r w:rsidRPr="00316E49">
              <w:rPr>
                <w:sz w:val="20"/>
                <w:szCs w:val="20"/>
              </w:rPr>
              <w:t xml:space="preserve">Päästeameti Põhja päästekeskuse </w:t>
            </w:r>
            <w:r>
              <w:rPr>
                <w:sz w:val="20"/>
                <w:szCs w:val="20"/>
              </w:rPr>
              <w:t>o</w:t>
            </w:r>
            <w:r w:rsidRPr="00316E49">
              <w:rPr>
                <w:sz w:val="20"/>
                <w:szCs w:val="20"/>
              </w:rPr>
              <w:t>hutusjärelevalve büroo inspektor Juri Marinets</w:t>
            </w:r>
          </w:p>
        </w:tc>
      </w:tr>
      <w:tr w:rsidR="00656D14" w14:paraId="2E4121CE" w14:textId="77777777" w:rsidTr="00BB342D">
        <w:trPr>
          <w:trHeight w:val="318"/>
        </w:trPr>
        <w:tc>
          <w:tcPr>
            <w:tcW w:w="3624" w:type="dxa"/>
            <w:tcBorders>
              <w:bottom w:val="single" w:sz="4" w:space="0" w:color="auto"/>
              <w:right w:val="single" w:sz="4" w:space="0" w:color="auto"/>
            </w:tcBorders>
          </w:tcPr>
          <w:p w14:paraId="55D81335" w14:textId="77777777" w:rsidR="00656D14" w:rsidRDefault="00FE1C0F" w:rsidP="00FE1C0F">
            <w:pPr>
              <w:rPr>
                <w:sz w:val="16"/>
                <w:szCs w:val="16"/>
              </w:rPr>
            </w:pPr>
            <w:r w:rsidRPr="00656D14">
              <w:rPr>
                <w:sz w:val="16"/>
                <w:szCs w:val="16"/>
              </w:rPr>
              <w:t>Koostamise aeg:</w:t>
            </w:r>
          </w:p>
          <w:p w14:paraId="5D65C3D9" w14:textId="6CFDBC3D" w:rsidR="00656D14" w:rsidRPr="008F6025" w:rsidRDefault="00CD662E" w:rsidP="00FE1C0F">
            <w:pPr>
              <w:rPr>
                <w:sz w:val="20"/>
                <w:szCs w:val="20"/>
              </w:rPr>
            </w:pPr>
            <w:r>
              <w:rPr>
                <w:sz w:val="20"/>
                <w:szCs w:val="20"/>
              </w:rPr>
              <w:t>07</w:t>
            </w:r>
            <w:r w:rsidR="00786609" w:rsidRPr="00786609">
              <w:rPr>
                <w:sz w:val="20"/>
                <w:szCs w:val="20"/>
              </w:rPr>
              <w:t>.0</w:t>
            </w:r>
            <w:r>
              <w:rPr>
                <w:sz w:val="20"/>
                <w:szCs w:val="20"/>
              </w:rPr>
              <w:t>4</w:t>
            </w:r>
            <w:r w:rsidR="00786609" w:rsidRPr="00786609">
              <w:rPr>
                <w:sz w:val="20"/>
                <w:szCs w:val="20"/>
              </w:rPr>
              <w:t>.2025</w:t>
            </w:r>
          </w:p>
        </w:tc>
        <w:tc>
          <w:tcPr>
            <w:tcW w:w="7711" w:type="dxa"/>
            <w:gridSpan w:val="6"/>
            <w:tcBorders>
              <w:top w:val="nil"/>
              <w:bottom w:val="single" w:sz="4" w:space="0" w:color="auto"/>
            </w:tcBorders>
          </w:tcPr>
          <w:p w14:paraId="2944D0EE" w14:textId="77777777" w:rsidR="00656D14" w:rsidRDefault="00FE1C0F" w:rsidP="00FE1C0F">
            <w:pPr>
              <w:rPr>
                <w:sz w:val="16"/>
                <w:szCs w:val="16"/>
              </w:rPr>
            </w:pPr>
            <w:r w:rsidRPr="003D053C">
              <w:rPr>
                <w:sz w:val="16"/>
                <w:szCs w:val="16"/>
              </w:rPr>
              <w:t>Koht:</w:t>
            </w:r>
          </w:p>
          <w:p w14:paraId="241755BE" w14:textId="50100071" w:rsidR="00786609" w:rsidRDefault="00786609" w:rsidP="00FE1C0F">
            <w:r>
              <w:t>Põhja päästekeskus, Erika tn 3, Tallinn, Harju maakond</w:t>
            </w:r>
          </w:p>
        </w:tc>
      </w:tr>
      <w:tr w:rsidR="00EC707D" w14:paraId="7CE9BEBD" w14:textId="77777777" w:rsidTr="00BB342D">
        <w:tc>
          <w:tcPr>
            <w:tcW w:w="11335" w:type="dxa"/>
            <w:gridSpan w:val="7"/>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3BAB621" w14:textId="77777777" w:rsidR="00EC707D" w:rsidRPr="00D3472E" w:rsidRDefault="00656D14" w:rsidP="000747F3">
            <w:pPr>
              <w:rPr>
                <w:sz w:val="20"/>
                <w:szCs w:val="20"/>
              </w:rPr>
            </w:pPr>
            <w:r w:rsidRPr="00FE1C0F">
              <w:rPr>
                <w:sz w:val="20"/>
                <w:szCs w:val="20"/>
                <w:highlight w:val="lightGray"/>
              </w:rPr>
              <w:t>LÜHIMENETLUSELE ALLUTATUD ISIK</w:t>
            </w:r>
          </w:p>
        </w:tc>
      </w:tr>
      <w:tr w:rsidR="00D3472E" w14:paraId="71552744" w14:textId="77777777" w:rsidTr="00C02FB4">
        <w:tc>
          <w:tcPr>
            <w:tcW w:w="5098" w:type="dxa"/>
            <w:gridSpan w:val="4"/>
            <w:tcBorders>
              <w:top w:val="single" w:sz="4" w:space="0" w:color="auto"/>
            </w:tcBorders>
          </w:tcPr>
          <w:p w14:paraId="2E47660D" w14:textId="77777777" w:rsidR="00D3472E" w:rsidRDefault="00D3472E" w:rsidP="00D3472E">
            <w:pPr>
              <w:rPr>
                <w:sz w:val="16"/>
                <w:szCs w:val="16"/>
              </w:rPr>
            </w:pPr>
            <w:r w:rsidRPr="003D053C">
              <w:rPr>
                <w:sz w:val="16"/>
                <w:szCs w:val="16"/>
              </w:rPr>
              <w:t>Eesnimi</w:t>
            </w:r>
            <w:r>
              <w:rPr>
                <w:sz w:val="16"/>
                <w:szCs w:val="16"/>
              </w:rPr>
              <w:t>:</w:t>
            </w:r>
          </w:p>
          <w:p w14:paraId="0422D146" w14:textId="010019BC" w:rsidR="00D3472E" w:rsidRPr="008F6025" w:rsidRDefault="00786054" w:rsidP="00D3472E">
            <w:pPr>
              <w:rPr>
                <w:sz w:val="20"/>
                <w:szCs w:val="20"/>
              </w:rPr>
            </w:pPr>
            <w:r w:rsidRPr="00786054">
              <w:rPr>
                <w:sz w:val="20"/>
                <w:szCs w:val="20"/>
              </w:rPr>
              <w:t xml:space="preserve">Raimo </w:t>
            </w:r>
          </w:p>
        </w:tc>
        <w:tc>
          <w:tcPr>
            <w:tcW w:w="6237" w:type="dxa"/>
            <w:gridSpan w:val="3"/>
            <w:tcBorders>
              <w:top w:val="single" w:sz="4" w:space="0" w:color="auto"/>
            </w:tcBorders>
          </w:tcPr>
          <w:p w14:paraId="46C32805" w14:textId="77777777" w:rsidR="00D3472E" w:rsidRDefault="00D3472E" w:rsidP="00D3472E">
            <w:pPr>
              <w:rPr>
                <w:sz w:val="16"/>
                <w:szCs w:val="16"/>
              </w:rPr>
            </w:pPr>
            <w:r w:rsidRPr="003D053C">
              <w:rPr>
                <w:sz w:val="16"/>
                <w:szCs w:val="16"/>
              </w:rPr>
              <w:t>Perekonnanimi</w:t>
            </w:r>
            <w:r>
              <w:rPr>
                <w:sz w:val="16"/>
                <w:szCs w:val="16"/>
              </w:rPr>
              <w:t>:</w:t>
            </w:r>
          </w:p>
          <w:p w14:paraId="47E32D7E" w14:textId="74036A27" w:rsidR="008F6025" w:rsidRPr="003D053C" w:rsidRDefault="00786054" w:rsidP="00D3472E">
            <w:pPr>
              <w:rPr>
                <w:sz w:val="16"/>
                <w:szCs w:val="16"/>
              </w:rPr>
            </w:pPr>
            <w:r w:rsidRPr="00786054">
              <w:rPr>
                <w:sz w:val="20"/>
                <w:szCs w:val="20"/>
              </w:rPr>
              <w:t>Harik</w:t>
            </w:r>
          </w:p>
        </w:tc>
      </w:tr>
      <w:tr w:rsidR="00D3472E" w14:paraId="01032427" w14:textId="77777777" w:rsidTr="00BB342D">
        <w:trPr>
          <w:trHeight w:val="523"/>
        </w:trPr>
        <w:tc>
          <w:tcPr>
            <w:tcW w:w="7249" w:type="dxa"/>
            <w:gridSpan w:val="5"/>
          </w:tcPr>
          <w:p w14:paraId="66F9FBDA" w14:textId="7FCC3CB0" w:rsidR="00A83F87" w:rsidRDefault="00D3472E" w:rsidP="00656D14">
            <w:pPr>
              <w:rPr>
                <w:sz w:val="16"/>
                <w:szCs w:val="16"/>
              </w:rPr>
            </w:pPr>
            <w:r w:rsidRPr="003D053C">
              <w:rPr>
                <w:sz w:val="16"/>
                <w:szCs w:val="16"/>
              </w:rPr>
              <w:t>Isikukood</w:t>
            </w:r>
            <w:r>
              <w:rPr>
                <w:sz w:val="16"/>
                <w:szCs w:val="16"/>
              </w:rPr>
              <w:t xml:space="preserve"> või s</w:t>
            </w:r>
            <w:r w:rsidRPr="003D053C">
              <w:rPr>
                <w:sz w:val="16"/>
                <w:szCs w:val="16"/>
              </w:rPr>
              <w:t>ünni</w:t>
            </w:r>
            <w:r w:rsidR="00DF3ACD">
              <w:rPr>
                <w:sz w:val="16"/>
                <w:szCs w:val="16"/>
              </w:rPr>
              <w:t xml:space="preserve">aeg ja –koht (välismaalaste ja </w:t>
            </w:r>
            <w:r w:rsidRPr="003D053C">
              <w:rPr>
                <w:sz w:val="16"/>
                <w:szCs w:val="16"/>
              </w:rPr>
              <w:t>isikukoodita isikute puhul)</w:t>
            </w:r>
            <w:r>
              <w:rPr>
                <w:sz w:val="16"/>
                <w:szCs w:val="16"/>
              </w:rPr>
              <w:t>:</w:t>
            </w:r>
          </w:p>
          <w:p w14:paraId="5679A3FE" w14:textId="1862E7AE" w:rsidR="00A83F87" w:rsidRPr="008F6025" w:rsidRDefault="00786054" w:rsidP="00A83F87">
            <w:pPr>
              <w:rPr>
                <w:sz w:val="20"/>
                <w:szCs w:val="20"/>
              </w:rPr>
            </w:pPr>
            <w:r>
              <w:rPr>
                <w:sz w:val="20"/>
                <w:szCs w:val="20"/>
              </w:rPr>
              <w:t>37612210219</w:t>
            </w:r>
          </w:p>
        </w:tc>
        <w:tc>
          <w:tcPr>
            <w:tcW w:w="4086" w:type="dxa"/>
            <w:gridSpan w:val="2"/>
          </w:tcPr>
          <w:p w14:paraId="13952D1B" w14:textId="77777777" w:rsidR="00D3472E" w:rsidRDefault="00D3472E" w:rsidP="00656D14">
            <w:pPr>
              <w:rPr>
                <w:sz w:val="16"/>
                <w:szCs w:val="16"/>
              </w:rPr>
            </w:pPr>
            <w:r w:rsidRPr="003D053C">
              <w:rPr>
                <w:sz w:val="16"/>
                <w:szCs w:val="16"/>
              </w:rPr>
              <w:t>Kodakondsus</w:t>
            </w:r>
            <w:r>
              <w:rPr>
                <w:sz w:val="16"/>
                <w:szCs w:val="16"/>
              </w:rPr>
              <w:t>:</w:t>
            </w:r>
          </w:p>
          <w:p w14:paraId="5CF01283" w14:textId="10595C38" w:rsidR="00D3472E" w:rsidRPr="00786609" w:rsidRDefault="00786054" w:rsidP="00656D14">
            <w:pPr>
              <w:rPr>
                <w:sz w:val="20"/>
                <w:szCs w:val="20"/>
              </w:rPr>
            </w:pPr>
            <w:r>
              <w:rPr>
                <w:sz w:val="20"/>
                <w:szCs w:val="20"/>
              </w:rPr>
              <w:t>EST</w:t>
            </w:r>
          </w:p>
        </w:tc>
      </w:tr>
      <w:tr w:rsidR="00A83F87" w14:paraId="716F358D" w14:textId="77777777" w:rsidTr="00BB342D">
        <w:trPr>
          <w:trHeight w:val="382"/>
        </w:trPr>
        <w:tc>
          <w:tcPr>
            <w:tcW w:w="11335" w:type="dxa"/>
            <w:gridSpan w:val="7"/>
          </w:tcPr>
          <w:p w14:paraId="389619F9" w14:textId="4F3385D8" w:rsidR="00A83F87" w:rsidRPr="00A83F87" w:rsidRDefault="00A83F87" w:rsidP="00786054">
            <w:pPr>
              <w:rPr>
                <w:sz w:val="20"/>
                <w:szCs w:val="20"/>
              </w:rPr>
            </w:pPr>
            <w:r>
              <w:rPr>
                <w:sz w:val="16"/>
                <w:szCs w:val="16"/>
              </w:rPr>
              <w:t>Elukoht:</w:t>
            </w:r>
            <w:r w:rsidR="00316E49">
              <w:rPr>
                <w:sz w:val="16"/>
                <w:szCs w:val="16"/>
              </w:rPr>
              <w:t xml:space="preserve"> </w:t>
            </w:r>
          </w:p>
        </w:tc>
      </w:tr>
      <w:tr w:rsidR="00D3472E" w14:paraId="5C520888" w14:textId="77777777" w:rsidTr="00BB342D">
        <w:tc>
          <w:tcPr>
            <w:tcW w:w="4673" w:type="dxa"/>
            <w:gridSpan w:val="3"/>
          </w:tcPr>
          <w:p w14:paraId="708EA99B" w14:textId="62807E13" w:rsidR="00D3472E" w:rsidRDefault="00D3472E" w:rsidP="003D053C">
            <w:pPr>
              <w:rPr>
                <w:sz w:val="16"/>
                <w:szCs w:val="16"/>
              </w:rPr>
            </w:pPr>
            <w:r w:rsidRPr="003D053C">
              <w:rPr>
                <w:sz w:val="16"/>
                <w:szCs w:val="16"/>
              </w:rPr>
              <w:t>Isikut tõendava dok nimetus ja nr</w:t>
            </w:r>
            <w:r w:rsidR="00786054">
              <w:rPr>
                <w:sz w:val="16"/>
                <w:szCs w:val="16"/>
              </w:rPr>
              <w:t xml:space="preserve"> ID AC1011866</w:t>
            </w:r>
          </w:p>
          <w:p w14:paraId="2C0D9D6A" w14:textId="77777777" w:rsidR="00D3472E" w:rsidRPr="008F6025" w:rsidRDefault="00D3472E" w:rsidP="003D053C">
            <w:pPr>
              <w:rPr>
                <w:sz w:val="20"/>
                <w:szCs w:val="20"/>
              </w:rPr>
            </w:pPr>
          </w:p>
        </w:tc>
        <w:tc>
          <w:tcPr>
            <w:tcW w:w="6662" w:type="dxa"/>
            <w:gridSpan w:val="4"/>
          </w:tcPr>
          <w:p w14:paraId="215CC580" w14:textId="789EB10D" w:rsidR="00D3472E" w:rsidRDefault="00D3472E" w:rsidP="00656D14">
            <w:pPr>
              <w:rPr>
                <w:sz w:val="16"/>
                <w:szCs w:val="16"/>
              </w:rPr>
            </w:pPr>
            <w:r w:rsidRPr="003D053C">
              <w:rPr>
                <w:sz w:val="16"/>
                <w:szCs w:val="16"/>
              </w:rPr>
              <w:t>Kontakt:</w:t>
            </w:r>
            <w:r w:rsidR="00316E49">
              <w:rPr>
                <w:sz w:val="16"/>
                <w:szCs w:val="16"/>
              </w:rPr>
              <w:t xml:space="preserve"> </w:t>
            </w:r>
            <w:hyperlink r:id="rId5" w:history="1">
              <w:r w:rsidR="00786054" w:rsidRPr="00866DFA">
                <w:rPr>
                  <w:rStyle w:val="Hperlink"/>
                </w:rPr>
                <w:t>raimo.harik@muusika.edu.ee</w:t>
              </w:r>
            </w:hyperlink>
            <w:r w:rsidR="00786054">
              <w:t xml:space="preserve"> </w:t>
            </w:r>
          </w:p>
          <w:p w14:paraId="7F1178BE" w14:textId="19AA5F37" w:rsidR="008F6025" w:rsidRDefault="008F6025" w:rsidP="00656D14"/>
        </w:tc>
      </w:tr>
      <w:tr w:rsidR="00EC707D" w14:paraId="6D5CC9F7" w14:textId="77777777" w:rsidTr="00BB342D">
        <w:tc>
          <w:tcPr>
            <w:tcW w:w="11335" w:type="dxa"/>
            <w:gridSpan w:val="7"/>
            <w:shd w:val="clear" w:color="auto" w:fill="D0CECE" w:themeFill="background2" w:themeFillShade="E6"/>
          </w:tcPr>
          <w:p w14:paraId="521E3ED1" w14:textId="77777777" w:rsidR="00EC707D" w:rsidRPr="00D3472E" w:rsidRDefault="00656D14" w:rsidP="000747F3">
            <w:pPr>
              <w:rPr>
                <w:sz w:val="20"/>
                <w:szCs w:val="20"/>
              </w:rPr>
            </w:pPr>
            <w:r w:rsidRPr="00FE1C0F">
              <w:rPr>
                <w:sz w:val="20"/>
                <w:szCs w:val="20"/>
                <w:highlight w:val="lightGray"/>
              </w:rPr>
              <w:t>ÕIGUSED</w:t>
            </w:r>
          </w:p>
        </w:tc>
      </w:tr>
      <w:tr w:rsidR="00455C52" w14:paraId="06F2EDCC" w14:textId="77777777" w:rsidTr="00BB342D">
        <w:trPr>
          <w:trHeight w:val="1214"/>
        </w:trPr>
        <w:tc>
          <w:tcPr>
            <w:tcW w:w="11335" w:type="dxa"/>
            <w:gridSpan w:val="7"/>
          </w:tcPr>
          <w:p w14:paraId="28ED8752" w14:textId="40ED48D3" w:rsidR="00455C52" w:rsidRDefault="00455C52" w:rsidP="000747F3">
            <w:r w:rsidRPr="00C47DC7">
              <w:rPr>
                <w:sz w:val="20"/>
                <w:szCs w:val="20"/>
              </w:rPr>
              <w:t xml:space="preserve">Lühimenetlusele allutatud isikule on selgitatud </w:t>
            </w:r>
            <w:r w:rsidR="00FB251A">
              <w:rPr>
                <w:sz w:val="20"/>
                <w:szCs w:val="20"/>
              </w:rPr>
              <w:t>Väärteomenetluse seadustiku § 54</w:t>
            </w:r>
            <w:r w:rsidRPr="00C47DC7">
              <w:rPr>
                <w:sz w:val="20"/>
                <w:szCs w:val="20"/>
                <w:vertAlign w:val="superscript"/>
              </w:rPr>
              <w:t>8</w:t>
            </w:r>
            <w:r w:rsidRPr="00C47DC7">
              <w:rPr>
                <w:sz w:val="20"/>
                <w:szCs w:val="20"/>
              </w:rPr>
              <w:t xml:space="preserve"> lg 8 ettenähtud õigusi:</w:t>
            </w:r>
          </w:p>
          <w:p w14:paraId="3B6D10A8" w14:textId="77777777" w:rsidR="00455C52" w:rsidRPr="00C47DC7" w:rsidRDefault="00455C52" w:rsidP="000747F3">
            <w:pPr>
              <w:rPr>
                <w:sz w:val="20"/>
                <w:szCs w:val="20"/>
              </w:rPr>
            </w:pPr>
            <w:r w:rsidRPr="00C47DC7">
              <w:rPr>
                <w:sz w:val="20"/>
                <w:szCs w:val="20"/>
              </w:rPr>
              <w:t>1) teada, millist väärteoasja tema suhtes menetletakse;</w:t>
            </w:r>
          </w:p>
          <w:p w14:paraId="6224DBE4" w14:textId="77777777" w:rsidR="00455C52" w:rsidRPr="00C47DC7" w:rsidRDefault="00455C52" w:rsidP="000747F3">
            <w:pPr>
              <w:rPr>
                <w:sz w:val="20"/>
                <w:szCs w:val="20"/>
              </w:rPr>
            </w:pPr>
            <w:r w:rsidRPr="00C47DC7">
              <w:rPr>
                <w:sz w:val="20"/>
                <w:szCs w:val="20"/>
              </w:rPr>
              <w:t>2) tutvuda riikliku järelevalve käigus tehtud salvestistega;</w:t>
            </w:r>
          </w:p>
          <w:p w14:paraId="0B82419F" w14:textId="77777777" w:rsidR="00455C52" w:rsidRDefault="00455C52" w:rsidP="000747F3">
            <w:r w:rsidRPr="00C47DC7">
              <w:rPr>
                <w:sz w:val="20"/>
                <w:szCs w:val="20"/>
              </w:rPr>
              <w:t>3) anda väärteo asjaolude kohta selgitusi;</w:t>
            </w:r>
          </w:p>
          <w:p w14:paraId="547AE077" w14:textId="77777777" w:rsidR="00455C52" w:rsidRDefault="00455C52" w:rsidP="000747F3">
            <w:pPr>
              <w:rPr>
                <w:sz w:val="20"/>
                <w:szCs w:val="20"/>
              </w:rPr>
            </w:pPr>
            <w:r w:rsidRPr="00C47DC7">
              <w:rPr>
                <w:sz w:val="20"/>
                <w:szCs w:val="20"/>
              </w:rPr>
              <w:t>4) vaidlustada lühimenetluse otsus seaduses ettenähtud korras</w:t>
            </w:r>
            <w:r w:rsidR="002748CB">
              <w:rPr>
                <w:sz w:val="20"/>
                <w:szCs w:val="20"/>
              </w:rPr>
              <w:t>;</w:t>
            </w:r>
          </w:p>
          <w:p w14:paraId="22433271" w14:textId="66C3770A" w:rsidR="002748CB" w:rsidRPr="002748CB" w:rsidRDefault="002748CB" w:rsidP="000747F3">
            <w:pPr>
              <w:rPr>
                <w:sz w:val="20"/>
                <w:szCs w:val="20"/>
              </w:rPr>
            </w:pPr>
            <w:r w:rsidRPr="002748CB">
              <w:rPr>
                <w:sz w:val="20"/>
                <w:szCs w:val="20"/>
              </w:rPr>
              <w:t>5) taotleda mõjutustrahvi tasumist ositi.</w:t>
            </w:r>
          </w:p>
        </w:tc>
      </w:tr>
      <w:tr w:rsidR="00455C52" w14:paraId="70E0BE7F" w14:textId="77777777" w:rsidTr="00C02FB4">
        <w:trPr>
          <w:trHeight w:val="410"/>
        </w:trPr>
        <w:tc>
          <w:tcPr>
            <w:tcW w:w="5098" w:type="dxa"/>
            <w:gridSpan w:val="4"/>
          </w:tcPr>
          <w:p w14:paraId="3EC5059A" w14:textId="77777777" w:rsidR="00455C52" w:rsidRPr="00704A35" w:rsidRDefault="00455C52" w:rsidP="000747F3">
            <w:pPr>
              <w:rPr>
                <w:sz w:val="16"/>
                <w:szCs w:val="16"/>
                <w:highlight w:val="yellow"/>
              </w:rPr>
            </w:pPr>
            <w:r w:rsidRPr="00704A35">
              <w:rPr>
                <w:sz w:val="16"/>
                <w:szCs w:val="16"/>
                <w:highlight w:val="yellow"/>
              </w:rPr>
              <w:t xml:space="preserve">Allkiri: </w:t>
            </w:r>
          </w:p>
          <w:p w14:paraId="28DCEBE1" w14:textId="1E3934FB" w:rsidR="00BB342D" w:rsidRPr="00704A35" w:rsidRDefault="00786609" w:rsidP="000747F3">
            <w:pPr>
              <w:rPr>
                <w:sz w:val="20"/>
                <w:szCs w:val="20"/>
                <w:highlight w:val="yellow"/>
              </w:rPr>
            </w:pPr>
            <w:r w:rsidRPr="00704A35">
              <w:rPr>
                <w:sz w:val="20"/>
                <w:szCs w:val="20"/>
                <w:highlight w:val="yellow"/>
              </w:rPr>
              <w:t>/digitaalselt allkirjastatud/</w:t>
            </w:r>
          </w:p>
        </w:tc>
        <w:tc>
          <w:tcPr>
            <w:tcW w:w="6237" w:type="dxa"/>
            <w:gridSpan w:val="3"/>
          </w:tcPr>
          <w:p w14:paraId="5D3DBBE2" w14:textId="77777777" w:rsidR="00455C52" w:rsidRPr="00704A35" w:rsidRDefault="00455C52" w:rsidP="000747F3">
            <w:pPr>
              <w:rPr>
                <w:sz w:val="16"/>
                <w:szCs w:val="16"/>
                <w:highlight w:val="yellow"/>
              </w:rPr>
            </w:pPr>
            <w:r w:rsidRPr="00704A35">
              <w:rPr>
                <w:sz w:val="16"/>
                <w:szCs w:val="16"/>
                <w:highlight w:val="yellow"/>
              </w:rPr>
              <w:t>Kuupäev:</w:t>
            </w:r>
          </w:p>
          <w:p w14:paraId="3B69743A" w14:textId="77777777" w:rsidR="00BB342D" w:rsidRPr="00704A35" w:rsidRDefault="00BB342D" w:rsidP="000747F3">
            <w:pPr>
              <w:rPr>
                <w:sz w:val="16"/>
                <w:szCs w:val="16"/>
                <w:highlight w:val="yellow"/>
              </w:rPr>
            </w:pPr>
          </w:p>
          <w:p w14:paraId="6373E9E4" w14:textId="245DBEB2" w:rsidR="00BB342D" w:rsidRPr="00704A35" w:rsidRDefault="00BB342D" w:rsidP="000747F3">
            <w:pPr>
              <w:rPr>
                <w:sz w:val="16"/>
                <w:szCs w:val="16"/>
                <w:highlight w:val="yellow"/>
              </w:rPr>
            </w:pPr>
          </w:p>
        </w:tc>
      </w:tr>
      <w:tr w:rsidR="00E93529" w14:paraId="1B681AC5" w14:textId="77777777" w:rsidTr="00BB342D">
        <w:trPr>
          <w:trHeight w:val="1090"/>
        </w:trPr>
        <w:tc>
          <w:tcPr>
            <w:tcW w:w="11335" w:type="dxa"/>
            <w:gridSpan w:val="7"/>
          </w:tcPr>
          <w:p w14:paraId="76747C71" w14:textId="77777777" w:rsidR="00E93529" w:rsidRPr="005912E1" w:rsidRDefault="00E93529" w:rsidP="00E93529">
            <w:pPr>
              <w:rPr>
                <w:b/>
                <w:bCs/>
                <w:sz w:val="20"/>
                <w:szCs w:val="20"/>
              </w:rPr>
            </w:pPr>
            <w:r w:rsidRPr="005912E1">
              <w:rPr>
                <w:b/>
                <w:bCs/>
                <w:sz w:val="20"/>
                <w:szCs w:val="20"/>
              </w:rPr>
              <w:t>LÜHIMENETLUSELE ALLUTATUD ISIKU SELGITUSED</w:t>
            </w:r>
          </w:p>
          <w:p w14:paraId="458E3B46" w14:textId="6C6C1771" w:rsidR="00BB342D" w:rsidRPr="00704A35" w:rsidRDefault="00600159" w:rsidP="00776053">
            <w:pPr>
              <w:rPr>
                <w:sz w:val="20"/>
                <w:szCs w:val="20"/>
                <w:highlight w:val="yellow"/>
              </w:rPr>
            </w:pPr>
            <w:r w:rsidRPr="00704A35">
              <w:rPr>
                <w:sz w:val="20"/>
                <w:szCs w:val="20"/>
                <w:highlight w:val="yellow"/>
              </w:rPr>
              <w:t>…………………………</w:t>
            </w:r>
            <w:r w:rsidR="00344727">
              <w:rPr>
                <w:sz w:val="20"/>
                <w:szCs w:val="20"/>
                <w:highlight w:val="yellow"/>
              </w:rPr>
              <w:t>Lasnamäe muusikakooli  tuletõkke uksed olid avatud asendis., kuna valvurid on saanud uste sulgemisest valesti aru. Tänaseks on  valvuritel</w:t>
            </w:r>
            <w:r w:rsidR="002B0591">
              <w:rPr>
                <w:sz w:val="20"/>
                <w:szCs w:val="20"/>
                <w:highlight w:val="yellow"/>
              </w:rPr>
              <w:t>e selgitatud miks peavad uksed suletud olema. Ho</w:t>
            </w:r>
            <w:r w:rsidR="00344727">
              <w:rPr>
                <w:sz w:val="20"/>
                <w:szCs w:val="20"/>
                <w:highlight w:val="yellow"/>
              </w:rPr>
              <w:t>oldusfirma Pristis paigaldab tuletõkeustele magnetid 30.04.2025</w:t>
            </w:r>
            <w:r w:rsidRPr="00704A35">
              <w:rPr>
                <w:sz w:val="20"/>
                <w:szCs w:val="20"/>
                <w:highlight w:val="yellow"/>
              </w:rPr>
              <w:t>……</w:t>
            </w:r>
            <w:r w:rsidR="002B0591">
              <w:rPr>
                <w:sz w:val="20"/>
                <w:szCs w:val="20"/>
                <w:highlight w:val="yellow"/>
              </w:rPr>
              <w:t>Muusikakooli poolsed vabandused päästeametile rohkem seda ie juhtu.</w:t>
            </w:r>
            <w:r w:rsidRPr="00704A35">
              <w:rPr>
                <w:sz w:val="20"/>
                <w:szCs w:val="20"/>
                <w:highlight w:val="yellow"/>
              </w:rPr>
              <w:t>………………………………………………………………………………………………………………………………………………………………………………….</w:t>
            </w:r>
          </w:p>
          <w:p w14:paraId="63F666DA" w14:textId="51F4601F" w:rsidR="003F07D8" w:rsidRPr="00704A35" w:rsidRDefault="00600159" w:rsidP="00776053">
            <w:pPr>
              <w:rPr>
                <w:sz w:val="20"/>
                <w:szCs w:val="20"/>
                <w:highlight w:val="yellow"/>
              </w:rPr>
            </w:pPr>
            <w:r w:rsidRPr="00704A35">
              <w:rPr>
                <w:sz w:val="20"/>
                <w:szCs w:val="20"/>
                <w:highlight w:val="yellow"/>
              </w:rPr>
              <w:t>…………………………………………………………………………………………………………………………………………………………………………………………………………………….</w:t>
            </w:r>
          </w:p>
          <w:p w14:paraId="2041E7D8" w14:textId="3DC79E50" w:rsidR="003F07D8" w:rsidRPr="00E93529" w:rsidRDefault="00600159" w:rsidP="00776053">
            <w:pPr>
              <w:rPr>
                <w:sz w:val="20"/>
                <w:szCs w:val="20"/>
              </w:rPr>
            </w:pPr>
            <w:r w:rsidRPr="00704A35">
              <w:rPr>
                <w:sz w:val="20"/>
                <w:szCs w:val="20"/>
                <w:highlight w:val="yellow"/>
              </w:rPr>
              <w:t>…………………………………………………………………………………………………………………………………………………………………………………………………………………….</w:t>
            </w:r>
          </w:p>
        </w:tc>
      </w:tr>
      <w:tr w:rsidR="00656D14" w14:paraId="043F715F" w14:textId="77777777" w:rsidTr="00BB342D">
        <w:trPr>
          <w:trHeight w:val="244"/>
        </w:trPr>
        <w:tc>
          <w:tcPr>
            <w:tcW w:w="11335" w:type="dxa"/>
            <w:gridSpan w:val="7"/>
            <w:shd w:val="clear" w:color="auto" w:fill="D0CECE" w:themeFill="background2" w:themeFillShade="E6"/>
          </w:tcPr>
          <w:p w14:paraId="03D7AE1E" w14:textId="77777777" w:rsidR="00656D14" w:rsidRDefault="00656D14" w:rsidP="00776053">
            <w:pPr>
              <w:rPr>
                <w:sz w:val="20"/>
                <w:szCs w:val="20"/>
              </w:rPr>
            </w:pPr>
            <w:r w:rsidRPr="00FE1C0F">
              <w:rPr>
                <w:sz w:val="20"/>
                <w:szCs w:val="20"/>
                <w:highlight w:val="lightGray"/>
              </w:rPr>
              <w:t>VÄÄRTEGU</w:t>
            </w:r>
          </w:p>
        </w:tc>
      </w:tr>
      <w:tr w:rsidR="00B248B2" w14:paraId="727C1959" w14:textId="77777777" w:rsidTr="00C02FB4">
        <w:tc>
          <w:tcPr>
            <w:tcW w:w="5098" w:type="dxa"/>
            <w:gridSpan w:val="4"/>
          </w:tcPr>
          <w:p w14:paraId="7C7E316A" w14:textId="5D5A2665" w:rsidR="00775443" w:rsidRDefault="00B248B2" w:rsidP="00776053">
            <w:pPr>
              <w:rPr>
                <w:sz w:val="20"/>
                <w:szCs w:val="20"/>
              </w:rPr>
            </w:pPr>
            <w:r w:rsidRPr="00776053">
              <w:rPr>
                <w:sz w:val="20"/>
                <w:szCs w:val="20"/>
              </w:rPr>
              <w:t xml:space="preserve">Väärteo toimepanemise </w:t>
            </w:r>
          </w:p>
          <w:p w14:paraId="4F72961D" w14:textId="77777777" w:rsidR="004C3FB5" w:rsidRDefault="00B248B2" w:rsidP="00776053">
            <w:pPr>
              <w:rPr>
                <w:sz w:val="20"/>
                <w:szCs w:val="20"/>
              </w:rPr>
            </w:pPr>
            <w:r w:rsidRPr="00776053">
              <w:rPr>
                <w:sz w:val="20"/>
                <w:szCs w:val="20"/>
              </w:rPr>
              <w:t>aeg</w:t>
            </w:r>
            <w:r>
              <w:rPr>
                <w:sz w:val="20"/>
                <w:szCs w:val="20"/>
              </w:rPr>
              <w:t xml:space="preserve">: </w:t>
            </w:r>
            <w:r w:rsidR="00C02FB4">
              <w:rPr>
                <w:sz w:val="20"/>
                <w:szCs w:val="20"/>
              </w:rPr>
              <w:t xml:space="preserve">                    </w:t>
            </w:r>
          </w:p>
          <w:p w14:paraId="10ECED08" w14:textId="0F80A1CB" w:rsidR="00B248B2" w:rsidRPr="00776053" w:rsidRDefault="004C3FB5" w:rsidP="00776053">
            <w:pPr>
              <w:rPr>
                <w:sz w:val="20"/>
                <w:szCs w:val="20"/>
              </w:rPr>
            </w:pPr>
            <w:r>
              <w:rPr>
                <w:sz w:val="20"/>
                <w:szCs w:val="20"/>
              </w:rPr>
              <w:t xml:space="preserve">                          </w:t>
            </w:r>
            <w:r w:rsidR="00786054">
              <w:rPr>
                <w:sz w:val="20"/>
                <w:szCs w:val="20"/>
              </w:rPr>
              <w:t>04</w:t>
            </w:r>
            <w:r w:rsidR="00786609">
              <w:rPr>
                <w:sz w:val="20"/>
                <w:szCs w:val="20"/>
              </w:rPr>
              <w:t>.0</w:t>
            </w:r>
            <w:r w:rsidR="00786054">
              <w:rPr>
                <w:sz w:val="20"/>
                <w:szCs w:val="20"/>
              </w:rPr>
              <w:t>4</w:t>
            </w:r>
            <w:r w:rsidR="00786609">
              <w:rPr>
                <w:sz w:val="20"/>
                <w:szCs w:val="20"/>
              </w:rPr>
              <w:t xml:space="preserve">.2025 </w:t>
            </w:r>
            <w:r w:rsidR="00B248B2">
              <w:rPr>
                <w:sz w:val="20"/>
                <w:szCs w:val="20"/>
              </w:rPr>
              <w:t xml:space="preserve">a    </w:t>
            </w:r>
            <w:r w:rsidR="00B74E07">
              <w:rPr>
                <w:sz w:val="20"/>
                <w:szCs w:val="20"/>
              </w:rPr>
              <w:t xml:space="preserve">   </w:t>
            </w:r>
            <w:r w:rsidR="00B248B2">
              <w:rPr>
                <w:sz w:val="20"/>
                <w:szCs w:val="20"/>
              </w:rPr>
              <w:t xml:space="preserve"> kell:</w:t>
            </w:r>
            <w:r w:rsidR="00786609">
              <w:rPr>
                <w:sz w:val="20"/>
                <w:szCs w:val="20"/>
              </w:rPr>
              <w:t xml:space="preserve"> 1</w:t>
            </w:r>
            <w:r w:rsidR="00786054">
              <w:rPr>
                <w:sz w:val="20"/>
                <w:szCs w:val="20"/>
              </w:rPr>
              <w:t>2</w:t>
            </w:r>
            <w:r w:rsidR="00786609">
              <w:rPr>
                <w:sz w:val="20"/>
                <w:szCs w:val="20"/>
              </w:rPr>
              <w:t>:</w:t>
            </w:r>
            <w:r w:rsidR="00316E49">
              <w:rPr>
                <w:sz w:val="20"/>
                <w:szCs w:val="20"/>
              </w:rPr>
              <w:t>4</w:t>
            </w:r>
            <w:r w:rsidR="00786054">
              <w:rPr>
                <w:sz w:val="20"/>
                <w:szCs w:val="20"/>
              </w:rPr>
              <w:t>6</w:t>
            </w:r>
          </w:p>
        </w:tc>
        <w:tc>
          <w:tcPr>
            <w:tcW w:w="6237" w:type="dxa"/>
            <w:gridSpan w:val="3"/>
            <w:vAlign w:val="bottom"/>
          </w:tcPr>
          <w:p w14:paraId="093DD91F" w14:textId="21AAFCEE" w:rsidR="00B248B2" w:rsidRDefault="00B248B2" w:rsidP="00776053">
            <w:pPr>
              <w:rPr>
                <w:sz w:val="20"/>
                <w:szCs w:val="20"/>
              </w:rPr>
            </w:pPr>
            <w:r>
              <w:rPr>
                <w:sz w:val="20"/>
                <w:szCs w:val="20"/>
              </w:rPr>
              <w:t>Väärteo toimepanemise koht:</w:t>
            </w:r>
          </w:p>
          <w:p w14:paraId="616AE82E" w14:textId="77777777" w:rsidR="003F07D8" w:rsidRDefault="003F07D8" w:rsidP="00CA20C0">
            <w:pPr>
              <w:rPr>
                <w:sz w:val="20"/>
                <w:szCs w:val="20"/>
              </w:rPr>
            </w:pPr>
          </w:p>
          <w:p w14:paraId="07DADDD0" w14:textId="24995A9D" w:rsidR="004C3FB5" w:rsidRPr="00776053" w:rsidRDefault="00786054" w:rsidP="00CA20C0">
            <w:pPr>
              <w:rPr>
                <w:sz w:val="20"/>
                <w:szCs w:val="20"/>
              </w:rPr>
            </w:pPr>
            <w:r w:rsidRPr="00786054">
              <w:rPr>
                <w:sz w:val="20"/>
                <w:szCs w:val="20"/>
              </w:rPr>
              <w:t>Lasnamäe Muusikakool</w:t>
            </w:r>
            <w:r>
              <w:rPr>
                <w:sz w:val="20"/>
                <w:szCs w:val="20"/>
              </w:rPr>
              <w:t xml:space="preserve">, </w:t>
            </w:r>
            <w:r w:rsidRPr="00786054">
              <w:rPr>
                <w:sz w:val="20"/>
                <w:szCs w:val="20"/>
              </w:rPr>
              <w:t xml:space="preserve"> Punane 69, Tal</w:t>
            </w:r>
            <w:r>
              <w:rPr>
                <w:sz w:val="20"/>
                <w:szCs w:val="20"/>
              </w:rPr>
              <w:t>l</w:t>
            </w:r>
            <w:r w:rsidRPr="00786054">
              <w:rPr>
                <w:sz w:val="20"/>
                <w:szCs w:val="20"/>
              </w:rPr>
              <w:t>inn</w:t>
            </w:r>
          </w:p>
        </w:tc>
      </w:tr>
      <w:tr w:rsidR="00D3472E" w14:paraId="4B74F452" w14:textId="77777777" w:rsidTr="00BB342D">
        <w:tc>
          <w:tcPr>
            <w:tcW w:w="11335" w:type="dxa"/>
            <w:gridSpan w:val="7"/>
          </w:tcPr>
          <w:p w14:paraId="32672499" w14:textId="77777777" w:rsidR="00D3472E" w:rsidRPr="005912E1" w:rsidRDefault="00D3472E" w:rsidP="00776053">
            <w:pPr>
              <w:rPr>
                <w:b/>
                <w:bCs/>
                <w:sz w:val="20"/>
                <w:szCs w:val="20"/>
              </w:rPr>
            </w:pPr>
            <w:r w:rsidRPr="005912E1">
              <w:rPr>
                <w:b/>
                <w:bCs/>
                <w:sz w:val="20"/>
                <w:szCs w:val="20"/>
              </w:rPr>
              <w:t>Tõendid või tõendiallikad:</w:t>
            </w:r>
            <w:r w:rsidR="008F6025" w:rsidRPr="005912E1">
              <w:rPr>
                <w:b/>
                <w:bCs/>
                <w:sz w:val="20"/>
                <w:szCs w:val="20"/>
              </w:rPr>
              <w:t xml:space="preserve"> </w:t>
            </w:r>
          </w:p>
          <w:p w14:paraId="64BD75F6" w14:textId="00497856" w:rsidR="00786609" w:rsidRDefault="00786609" w:rsidP="00786609">
            <w:pPr>
              <w:rPr>
                <w:sz w:val="20"/>
                <w:szCs w:val="20"/>
              </w:rPr>
            </w:pPr>
            <w:r>
              <w:rPr>
                <w:sz w:val="20"/>
                <w:szCs w:val="20"/>
              </w:rPr>
              <w:t>I</w:t>
            </w:r>
            <w:r w:rsidRPr="0077632E">
              <w:rPr>
                <w:sz w:val="20"/>
                <w:szCs w:val="20"/>
              </w:rPr>
              <w:t xml:space="preserve">nspektori </w:t>
            </w:r>
            <w:r w:rsidR="00316E49" w:rsidRPr="00316E49">
              <w:rPr>
                <w:sz w:val="20"/>
                <w:szCs w:val="20"/>
              </w:rPr>
              <w:t xml:space="preserve">Juri Marinets </w:t>
            </w:r>
            <w:r w:rsidRPr="0077632E">
              <w:rPr>
                <w:sz w:val="20"/>
                <w:szCs w:val="20"/>
              </w:rPr>
              <w:t>ütlused</w:t>
            </w:r>
            <w:r>
              <w:rPr>
                <w:sz w:val="20"/>
                <w:szCs w:val="20"/>
              </w:rPr>
              <w:t>.</w:t>
            </w:r>
            <w:r w:rsidR="00316E49">
              <w:rPr>
                <w:sz w:val="20"/>
                <w:szCs w:val="20"/>
              </w:rPr>
              <w:t xml:space="preserve"> Pildid.</w:t>
            </w:r>
          </w:p>
          <w:p w14:paraId="03B82BCC" w14:textId="688D7F3B" w:rsidR="00B248B2" w:rsidRPr="00776053" w:rsidRDefault="00B248B2" w:rsidP="00776053">
            <w:pPr>
              <w:rPr>
                <w:sz w:val="20"/>
                <w:szCs w:val="20"/>
              </w:rPr>
            </w:pPr>
          </w:p>
        </w:tc>
      </w:tr>
      <w:tr w:rsidR="00BB342D" w14:paraId="168AF111" w14:textId="77777777" w:rsidTr="00BB342D">
        <w:tc>
          <w:tcPr>
            <w:tcW w:w="11335" w:type="dxa"/>
            <w:gridSpan w:val="7"/>
          </w:tcPr>
          <w:p w14:paraId="10BEEF63" w14:textId="77777777" w:rsidR="00C6222F" w:rsidRDefault="006F5F62" w:rsidP="00776053">
            <w:pPr>
              <w:rPr>
                <w:sz w:val="20"/>
                <w:szCs w:val="20"/>
              </w:rPr>
            </w:pPr>
            <w:r w:rsidRPr="005912E1">
              <w:rPr>
                <w:b/>
                <w:bCs/>
                <w:sz w:val="20"/>
                <w:szCs w:val="20"/>
              </w:rPr>
              <w:t>Rikkumise lühikirjeldus:</w:t>
            </w:r>
            <w:r w:rsidR="00786054" w:rsidRPr="00786054">
              <w:rPr>
                <w:i/>
                <w:iCs/>
                <w:sz w:val="24"/>
                <w:szCs w:val="24"/>
              </w:rPr>
              <w:t xml:space="preserve"> aadressil  Punane 69, Tallinn Lasnamäe Muusikakooli hoones esimesel ja teisel korrusel tuletõkkeuksed on avatud seisundis fikseeritud.</w:t>
            </w:r>
            <w:r w:rsidR="00C6222F">
              <w:t xml:space="preserve"> </w:t>
            </w:r>
            <w:r w:rsidR="00C6222F" w:rsidRPr="00C6222F">
              <w:rPr>
                <w:i/>
                <w:iCs/>
                <w:sz w:val="24"/>
                <w:szCs w:val="24"/>
              </w:rPr>
              <w:t>Antud tuletõkkeuks</w:t>
            </w:r>
            <w:r w:rsidR="00C6222F">
              <w:rPr>
                <w:i/>
                <w:iCs/>
                <w:sz w:val="24"/>
                <w:szCs w:val="24"/>
              </w:rPr>
              <w:t>ed</w:t>
            </w:r>
            <w:r w:rsidR="00C6222F" w:rsidRPr="00C6222F">
              <w:rPr>
                <w:i/>
                <w:iCs/>
                <w:sz w:val="24"/>
                <w:szCs w:val="24"/>
              </w:rPr>
              <w:t xml:space="preserve"> ei ole varustatud spetsiaalse seadmega, mis sulgeb sellise ukse tulekahju või ohu korral automaatselt.</w:t>
            </w:r>
            <w:r w:rsidR="00C6222F" w:rsidRPr="00C6222F">
              <w:rPr>
                <w:sz w:val="20"/>
                <w:szCs w:val="20"/>
              </w:rPr>
              <w:t xml:space="preserve"> </w:t>
            </w:r>
          </w:p>
          <w:p w14:paraId="0F1342A3" w14:textId="386B8AF7" w:rsidR="00786054" w:rsidRDefault="00C6222F" w:rsidP="00776053">
            <w:pPr>
              <w:rPr>
                <w:i/>
                <w:iCs/>
                <w:sz w:val="24"/>
                <w:szCs w:val="24"/>
              </w:rPr>
            </w:pPr>
            <w:r w:rsidRPr="00C6222F">
              <w:rPr>
                <w:sz w:val="20"/>
                <w:szCs w:val="20"/>
              </w:rPr>
              <w:t>Evakuatsiooniteel asuv, tavakasutuses avatud tuletõkkeuks varustatakse seadmega, mis sulgeb sellise ukse tulekahju või selle ohu korral automaatselt.</w:t>
            </w:r>
          </w:p>
          <w:p w14:paraId="12019B22" w14:textId="24D2E638" w:rsidR="00C6222F" w:rsidRPr="005912E1" w:rsidRDefault="00C6222F" w:rsidP="00776053">
            <w:pPr>
              <w:rPr>
                <w:b/>
                <w:bCs/>
                <w:sz w:val="20"/>
                <w:szCs w:val="20"/>
              </w:rPr>
            </w:pPr>
            <w:r w:rsidRPr="00C6222F">
              <w:rPr>
                <w:b/>
                <w:bCs/>
                <w:sz w:val="20"/>
                <w:szCs w:val="20"/>
              </w:rPr>
              <w:t>TuOS § 6 lg 1 Piiratud kinnisasjalt või ehitisest peab olema tagatud evakuatsioon ning kergesti läbitav evakuatsioonitee</w:t>
            </w:r>
          </w:p>
          <w:p w14:paraId="09A83F24" w14:textId="2D3A28B6" w:rsidR="003F07D8" w:rsidRDefault="003F07D8" w:rsidP="00786054">
            <w:pPr>
              <w:rPr>
                <w:sz w:val="20"/>
                <w:szCs w:val="20"/>
              </w:rPr>
            </w:pPr>
          </w:p>
        </w:tc>
      </w:tr>
      <w:tr w:rsidR="00FE1C0F" w14:paraId="206BF2A6" w14:textId="77777777" w:rsidTr="00BB342D">
        <w:tc>
          <w:tcPr>
            <w:tcW w:w="11335" w:type="dxa"/>
            <w:gridSpan w:val="7"/>
          </w:tcPr>
          <w:p w14:paraId="1334C8AE" w14:textId="77777777" w:rsidR="00BB342D" w:rsidRDefault="00BB342D" w:rsidP="00776053">
            <w:pPr>
              <w:rPr>
                <w:sz w:val="20"/>
                <w:szCs w:val="20"/>
              </w:rPr>
            </w:pPr>
          </w:p>
          <w:p w14:paraId="4646AD1C" w14:textId="0CC1299E" w:rsidR="00FE1C0F" w:rsidRPr="00776053" w:rsidRDefault="00FE1C0F" w:rsidP="00776053">
            <w:pPr>
              <w:rPr>
                <w:sz w:val="20"/>
                <w:szCs w:val="20"/>
              </w:rPr>
            </w:pPr>
            <w:r>
              <w:rPr>
                <w:sz w:val="20"/>
                <w:szCs w:val="20"/>
              </w:rPr>
              <w:t>Rikutud õigusnorm: Tuleohutuse seadus §</w:t>
            </w:r>
            <w:r w:rsidR="00786609">
              <w:rPr>
                <w:sz w:val="20"/>
                <w:szCs w:val="20"/>
              </w:rPr>
              <w:t xml:space="preserve"> 32 l</w:t>
            </w:r>
            <w:r>
              <w:rPr>
                <w:sz w:val="20"/>
                <w:szCs w:val="20"/>
              </w:rPr>
              <w:t xml:space="preserve">g </w:t>
            </w:r>
            <w:r w:rsidR="00786609">
              <w:rPr>
                <w:sz w:val="20"/>
                <w:szCs w:val="20"/>
              </w:rPr>
              <w:t>1</w:t>
            </w:r>
          </w:p>
        </w:tc>
      </w:tr>
      <w:tr w:rsidR="008E7E66" w14:paraId="44EADB54" w14:textId="77777777" w:rsidTr="006E7BCB">
        <w:tc>
          <w:tcPr>
            <w:tcW w:w="4390" w:type="dxa"/>
            <w:gridSpan w:val="2"/>
          </w:tcPr>
          <w:p w14:paraId="27F37C01" w14:textId="77777777" w:rsidR="008E7E66" w:rsidRPr="00374AE7" w:rsidRDefault="008E7E66" w:rsidP="00A83F87">
            <w:pPr>
              <w:rPr>
                <w:b/>
                <w:sz w:val="20"/>
                <w:szCs w:val="20"/>
              </w:rPr>
            </w:pPr>
            <w:r w:rsidRPr="00374AE7">
              <w:rPr>
                <w:b/>
                <w:sz w:val="20"/>
                <w:szCs w:val="20"/>
              </w:rPr>
              <w:t>Väärteo kvalifikatsioon</w:t>
            </w:r>
            <w:r>
              <w:rPr>
                <w:b/>
                <w:sz w:val="20"/>
                <w:szCs w:val="20"/>
              </w:rPr>
              <w:t xml:space="preserve"> </w:t>
            </w:r>
            <w:r w:rsidRPr="00A83F87">
              <w:rPr>
                <w:sz w:val="16"/>
                <w:szCs w:val="16"/>
              </w:rPr>
              <w:t>(kriipsuta</w:t>
            </w:r>
            <w:r>
              <w:rPr>
                <w:sz w:val="16"/>
                <w:szCs w:val="16"/>
              </w:rPr>
              <w:t xml:space="preserve"> läbi mittevajalik</w:t>
            </w:r>
            <w:r w:rsidRPr="00A83F87">
              <w:rPr>
                <w:sz w:val="16"/>
                <w:szCs w:val="16"/>
              </w:rPr>
              <w:t>)</w:t>
            </w:r>
            <w:r>
              <w:rPr>
                <w:b/>
                <w:sz w:val="20"/>
                <w:szCs w:val="20"/>
              </w:rPr>
              <w:t xml:space="preserve">: </w:t>
            </w:r>
          </w:p>
        </w:tc>
        <w:tc>
          <w:tcPr>
            <w:tcW w:w="3402" w:type="dxa"/>
            <w:gridSpan w:val="4"/>
          </w:tcPr>
          <w:p w14:paraId="66E036EB" w14:textId="014285DF" w:rsidR="008E7E66" w:rsidRPr="00A052D0" w:rsidRDefault="008E7E66" w:rsidP="00A83F87">
            <w:pPr>
              <w:rPr>
                <w:b/>
                <w:sz w:val="20"/>
                <w:szCs w:val="20"/>
              </w:rPr>
            </w:pPr>
            <w:r w:rsidRPr="00A052D0">
              <w:rPr>
                <w:sz w:val="20"/>
                <w:szCs w:val="20"/>
              </w:rPr>
              <w:t>Tuleohutuse seadus § 44 lg 1</w:t>
            </w:r>
          </w:p>
        </w:tc>
        <w:tc>
          <w:tcPr>
            <w:tcW w:w="3543" w:type="dxa"/>
          </w:tcPr>
          <w:p w14:paraId="68489E39" w14:textId="6BBEA680" w:rsidR="008E7E66" w:rsidRPr="00A052D0" w:rsidRDefault="008E7E66" w:rsidP="00A83F87">
            <w:pPr>
              <w:rPr>
                <w:strike/>
                <w:sz w:val="20"/>
                <w:szCs w:val="20"/>
              </w:rPr>
            </w:pPr>
            <w:r w:rsidRPr="00A052D0">
              <w:rPr>
                <w:strike/>
                <w:sz w:val="20"/>
                <w:szCs w:val="20"/>
              </w:rPr>
              <w:t>Tuleohutuse seadus § 50 lg 1</w:t>
            </w:r>
          </w:p>
        </w:tc>
      </w:tr>
      <w:tr w:rsidR="00EC707D" w14:paraId="1166A0F1" w14:textId="77777777" w:rsidTr="00BB342D">
        <w:tc>
          <w:tcPr>
            <w:tcW w:w="11335" w:type="dxa"/>
            <w:gridSpan w:val="7"/>
            <w:shd w:val="clear" w:color="auto" w:fill="D0CECE" w:themeFill="background2" w:themeFillShade="E6"/>
          </w:tcPr>
          <w:p w14:paraId="476F3C3C" w14:textId="77777777" w:rsidR="00EC707D" w:rsidRPr="00D3472E" w:rsidRDefault="00656D14" w:rsidP="00484A61">
            <w:pPr>
              <w:rPr>
                <w:sz w:val="20"/>
                <w:szCs w:val="20"/>
              </w:rPr>
            </w:pPr>
            <w:r w:rsidRPr="00FE1C0F">
              <w:rPr>
                <w:sz w:val="20"/>
                <w:szCs w:val="20"/>
                <w:highlight w:val="lightGray"/>
              </w:rPr>
              <w:t>MÕJUTUSTRAHV</w:t>
            </w:r>
          </w:p>
        </w:tc>
      </w:tr>
      <w:tr w:rsidR="00D3472E" w14:paraId="09F07ACB" w14:textId="77777777" w:rsidTr="00BB342D">
        <w:tc>
          <w:tcPr>
            <w:tcW w:w="11335" w:type="dxa"/>
            <w:gridSpan w:val="7"/>
          </w:tcPr>
          <w:p w14:paraId="2938FA8B" w14:textId="77777777" w:rsidR="00D3472E" w:rsidRPr="00FE1C0F" w:rsidRDefault="00D3472E" w:rsidP="00484A61">
            <w:pPr>
              <w:rPr>
                <w:sz w:val="20"/>
                <w:szCs w:val="20"/>
              </w:rPr>
            </w:pPr>
            <w:r w:rsidRPr="00FE1C0F">
              <w:rPr>
                <w:sz w:val="20"/>
                <w:szCs w:val="20"/>
              </w:rPr>
              <w:t>Mõjutustrahvi määramise alus: Tuleohutuse seadus § 56</w:t>
            </w:r>
            <w:r w:rsidRPr="00FE1C0F">
              <w:rPr>
                <w:sz w:val="20"/>
                <w:szCs w:val="20"/>
                <w:vertAlign w:val="superscript"/>
              </w:rPr>
              <w:t>1</w:t>
            </w:r>
            <w:r w:rsidRPr="00FE1C0F">
              <w:rPr>
                <w:sz w:val="20"/>
                <w:szCs w:val="20"/>
              </w:rPr>
              <w:t xml:space="preserve"> lg 2</w:t>
            </w:r>
          </w:p>
        </w:tc>
      </w:tr>
      <w:tr w:rsidR="00D3472E" w14:paraId="5226958B" w14:textId="77777777" w:rsidTr="00BB342D">
        <w:trPr>
          <w:trHeight w:val="843"/>
        </w:trPr>
        <w:tc>
          <w:tcPr>
            <w:tcW w:w="11335" w:type="dxa"/>
            <w:gridSpan w:val="7"/>
          </w:tcPr>
          <w:p w14:paraId="5C916D9A" w14:textId="78052224" w:rsidR="00D3472E" w:rsidRPr="002748CB" w:rsidRDefault="00D3472E" w:rsidP="002748CB">
            <w:pPr>
              <w:jc w:val="both"/>
              <w:rPr>
                <w:b/>
              </w:rPr>
            </w:pPr>
            <w:r w:rsidRPr="00A83F87">
              <w:rPr>
                <w:b/>
                <w:sz w:val="20"/>
                <w:szCs w:val="20"/>
              </w:rPr>
              <w:t>Ülaltoodule tuginedes otsustas Päästeamet määrata</w:t>
            </w:r>
            <w:r w:rsidR="00FE1C0F" w:rsidRPr="00A83F87">
              <w:rPr>
                <w:b/>
                <w:sz w:val="20"/>
                <w:szCs w:val="20"/>
              </w:rPr>
              <w:t xml:space="preserve"> </w:t>
            </w:r>
            <w:r w:rsidR="00A83F87" w:rsidRPr="00A83F87">
              <w:rPr>
                <w:b/>
                <w:sz w:val="20"/>
                <w:szCs w:val="20"/>
              </w:rPr>
              <w:t xml:space="preserve">lühimenetlusele allutatud isikule mõjutustrahvi summas </w:t>
            </w:r>
            <w:r w:rsidR="00093E71">
              <w:rPr>
                <w:b/>
                <w:sz w:val="20"/>
                <w:szCs w:val="20"/>
              </w:rPr>
              <w:t>8</w:t>
            </w:r>
            <w:r w:rsidR="00A83F87" w:rsidRPr="00A83F87">
              <w:rPr>
                <w:b/>
                <w:sz w:val="20"/>
                <w:szCs w:val="20"/>
              </w:rPr>
              <w:t>0 (</w:t>
            </w:r>
            <w:r w:rsidR="00093E71">
              <w:rPr>
                <w:b/>
                <w:sz w:val="20"/>
                <w:szCs w:val="20"/>
              </w:rPr>
              <w:t>kaheksa</w:t>
            </w:r>
            <w:r w:rsidR="00A83F87" w:rsidRPr="00A83F87">
              <w:rPr>
                <w:b/>
                <w:sz w:val="20"/>
                <w:szCs w:val="20"/>
              </w:rPr>
              <w:t>kümmend) eurot.</w:t>
            </w:r>
            <w:r w:rsidR="002748CB">
              <w:rPr>
                <w:b/>
                <w:sz w:val="20"/>
                <w:szCs w:val="20"/>
              </w:rPr>
              <w:t xml:space="preserve"> </w:t>
            </w:r>
            <w:r w:rsidRPr="00E93529">
              <w:rPr>
                <w:sz w:val="16"/>
                <w:szCs w:val="16"/>
              </w:rPr>
              <w:t>Lühimenetluses määratav mõjutustrahv ei ole süüteo eest kohaldatav karistus, seda ei kanta karistusregistrisse ja sellele ei või tugineda süüteo korduvuse arvestamisel ega muude süüteo eest ette nähtud õigusjärelmite kohaldamisel.</w:t>
            </w:r>
            <w:r w:rsidR="002748CB">
              <w:rPr>
                <w:sz w:val="16"/>
                <w:szCs w:val="16"/>
              </w:rPr>
              <w:t xml:space="preserve"> </w:t>
            </w:r>
            <w:r w:rsidR="002748CB" w:rsidRPr="002748CB">
              <w:rPr>
                <w:sz w:val="16"/>
                <w:szCs w:val="16"/>
              </w:rPr>
              <w:t xml:space="preserve">Mõjutustrahvi tasumine ositi (summad, kuupäevad, põhjus): </w:t>
            </w:r>
            <w:r w:rsidR="002748CB" w:rsidRPr="002748CB">
              <w:rPr>
                <w:sz w:val="20"/>
                <w:szCs w:val="20"/>
              </w:rPr>
              <w:t>…………………………………………………………………………………………………………………………………………………………………………………………………………………….</w:t>
            </w:r>
          </w:p>
        </w:tc>
      </w:tr>
      <w:tr w:rsidR="00EC707D" w14:paraId="20BD4227" w14:textId="77777777" w:rsidTr="00BB342D">
        <w:tc>
          <w:tcPr>
            <w:tcW w:w="11335" w:type="dxa"/>
            <w:gridSpan w:val="7"/>
            <w:shd w:val="clear" w:color="auto" w:fill="D0CECE" w:themeFill="background2" w:themeFillShade="E6"/>
          </w:tcPr>
          <w:p w14:paraId="2D43E537" w14:textId="77777777" w:rsidR="00EC707D" w:rsidRPr="00D3472E" w:rsidRDefault="00656D14" w:rsidP="00484A61">
            <w:pPr>
              <w:rPr>
                <w:sz w:val="20"/>
                <w:szCs w:val="20"/>
              </w:rPr>
            </w:pPr>
            <w:r w:rsidRPr="00FE1C0F">
              <w:rPr>
                <w:sz w:val="20"/>
                <w:szCs w:val="20"/>
                <w:highlight w:val="lightGray"/>
              </w:rPr>
              <w:t>OTSUSE TÄITMINE</w:t>
            </w:r>
          </w:p>
        </w:tc>
      </w:tr>
      <w:tr w:rsidR="00D3472E" w14:paraId="534154BF" w14:textId="77777777" w:rsidTr="00BB342D">
        <w:trPr>
          <w:trHeight w:val="1921"/>
        </w:trPr>
        <w:tc>
          <w:tcPr>
            <w:tcW w:w="11335" w:type="dxa"/>
            <w:gridSpan w:val="7"/>
          </w:tcPr>
          <w:p w14:paraId="179F9D79" w14:textId="77777777" w:rsidR="00D3472E" w:rsidRPr="00E93529" w:rsidRDefault="00D3472E" w:rsidP="00D24F6C">
            <w:pPr>
              <w:jc w:val="both"/>
              <w:rPr>
                <w:sz w:val="16"/>
                <w:szCs w:val="16"/>
              </w:rPr>
            </w:pPr>
            <w:r w:rsidRPr="00E93529">
              <w:rPr>
                <w:sz w:val="16"/>
                <w:szCs w:val="16"/>
              </w:rPr>
              <w:lastRenderedPageBreak/>
              <w:t>Lühimenetlusele allutatud isikul või tema esindajal on 15 päeva jooksul alates lühimenetluse otsuse kättesaamisest arvates õigus see vaidlustada, esitades kaebuse kohtuvälisele menetlejale.</w:t>
            </w:r>
          </w:p>
          <w:p w14:paraId="6168F37C" w14:textId="77777777" w:rsidR="00D3472E" w:rsidRPr="00E93529" w:rsidRDefault="00D3472E" w:rsidP="00D24F6C">
            <w:pPr>
              <w:jc w:val="both"/>
              <w:rPr>
                <w:sz w:val="16"/>
                <w:szCs w:val="16"/>
              </w:rPr>
            </w:pPr>
            <w:r w:rsidRPr="00E93529">
              <w:rPr>
                <w:sz w:val="16"/>
                <w:szCs w:val="16"/>
              </w:rPr>
              <w:t xml:space="preserve">Kaebuse esitamisel lühimenetluse otsus ei jõustu, vaid väärteomenetlus uuendatakse kiir- või üldmenetluse korras ning uuendatud menetluses ei ole kohtuvälisele menetlejale lühimenetluse otsuses märgitud kvalifikatsioon ega mõjutustrahvi määr siduvad. </w:t>
            </w:r>
          </w:p>
          <w:p w14:paraId="687E604D" w14:textId="00A97A03" w:rsidR="00D3472E" w:rsidRPr="005912E1" w:rsidRDefault="002748CB" w:rsidP="006F5F62">
            <w:pPr>
              <w:jc w:val="both"/>
              <w:rPr>
                <w:b/>
                <w:sz w:val="16"/>
                <w:szCs w:val="16"/>
              </w:rPr>
            </w:pPr>
            <w:r w:rsidRPr="005912E1">
              <w:rPr>
                <w:b/>
                <w:sz w:val="20"/>
                <w:szCs w:val="20"/>
              </w:rPr>
              <w:t>Kui m</w:t>
            </w:r>
            <w:r w:rsidR="00913368" w:rsidRPr="005912E1">
              <w:rPr>
                <w:b/>
                <w:sz w:val="20"/>
                <w:szCs w:val="20"/>
              </w:rPr>
              <w:t>õjutustrahv</w:t>
            </w:r>
            <w:r w:rsidRPr="005912E1">
              <w:rPr>
                <w:b/>
                <w:sz w:val="20"/>
                <w:szCs w:val="20"/>
              </w:rPr>
              <w:t xml:space="preserve"> ei ole määratud tasuda ositi, siis</w:t>
            </w:r>
            <w:r w:rsidR="00913368" w:rsidRPr="005912E1">
              <w:rPr>
                <w:b/>
                <w:sz w:val="20"/>
                <w:szCs w:val="20"/>
              </w:rPr>
              <w:t xml:space="preserve"> tuleb</w:t>
            </w:r>
            <w:r w:rsidRPr="005912E1">
              <w:rPr>
                <w:b/>
                <w:sz w:val="20"/>
                <w:szCs w:val="20"/>
              </w:rPr>
              <w:t xml:space="preserve"> see</w:t>
            </w:r>
            <w:r w:rsidR="00913368" w:rsidRPr="005912E1">
              <w:rPr>
                <w:b/>
                <w:sz w:val="20"/>
                <w:szCs w:val="20"/>
              </w:rPr>
              <w:t xml:space="preserve"> tasuda </w:t>
            </w:r>
            <w:r w:rsidR="00520884" w:rsidRPr="005912E1">
              <w:rPr>
                <w:b/>
                <w:sz w:val="20"/>
                <w:szCs w:val="20"/>
              </w:rPr>
              <w:t>4</w:t>
            </w:r>
            <w:r w:rsidR="00913368" w:rsidRPr="005912E1">
              <w:rPr>
                <w:b/>
                <w:sz w:val="20"/>
                <w:szCs w:val="20"/>
              </w:rPr>
              <w:t xml:space="preserve">5 päeva jooksul alates otsuse kättesaamisest Rahandusministeeriumi arvelduskontole SEB pank a/a </w:t>
            </w:r>
            <w:r w:rsidR="00913368" w:rsidRPr="005912E1">
              <w:rPr>
                <w:b/>
                <w:color w:val="000000"/>
                <w:sz w:val="20"/>
                <w:szCs w:val="20"/>
              </w:rPr>
              <w:t>EE891010220034796011</w:t>
            </w:r>
            <w:r w:rsidR="00913368" w:rsidRPr="005912E1">
              <w:rPr>
                <w:color w:val="000000"/>
                <w:sz w:val="20"/>
                <w:szCs w:val="20"/>
              </w:rPr>
              <w:t>,</w:t>
            </w:r>
            <w:r w:rsidR="00913368" w:rsidRPr="005912E1">
              <w:rPr>
                <w:b/>
                <w:sz w:val="20"/>
                <w:szCs w:val="20"/>
              </w:rPr>
              <w:t xml:space="preserve"> Swedbank a/a EE932200221023778606, LHV Pank a/a EE777700771003813400, Luminor Bank a/a </w:t>
            </w:r>
            <w:r w:rsidR="00913368" w:rsidRPr="005912E1">
              <w:rPr>
                <w:b/>
                <w:color w:val="000000"/>
                <w:sz w:val="20"/>
                <w:szCs w:val="20"/>
              </w:rPr>
              <w:t>EE701700017001577198;</w:t>
            </w:r>
            <w:r w:rsidR="00913368" w:rsidRPr="005912E1">
              <w:rPr>
                <w:b/>
                <w:sz w:val="20"/>
                <w:szCs w:val="20"/>
              </w:rPr>
              <w:t xml:space="preserve"> viitenumber </w:t>
            </w:r>
            <w:r w:rsidR="00913368" w:rsidRPr="005912E1">
              <w:rPr>
                <w:rFonts w:cstheme="minorHAnsi"/>
                <w:b/>
                <w:color w:val="000000"/>
                <w:sz w:val="20"/>
                <w:szCs w:val="20"/>
              </w:rPr>
              <w:t>10290700005626</w:t>
            </w:r>
            <w:r w:rsidR="00913368" w:rsidRPr="005912E1">
              <w:rPr>
                <w:b/>
                <w:sz w:val="20"/>
                <w:szCs w:val="20"/>
              </w:rPr>
              <w:t xml:space="preserve">, selgituseks „väärteoasi nr </w:t>
            </w:r>
            <w:r w:rsidR="005912E1" w:rsidRPr="005912E1">
              <w:rPr>
                <w:b/>
                <w:sz w:val="20"/>
                <w:szCs w:val="20"/>
              </w:rPr>
              <w:t xml:space="preserve"> </w:t>
            </w:r>
            <w:r w:rsidR="008363D1" w:rsidRPr="008363D1">
              <w:rPr>
                <w:b/>
                <w:bCs/>
                <w:sz w:val="20"/>
                <w:szCs w:val="20"/>
              </w:rPr>
              <w:t xml:space="preserve"> </w:t>
            </w:r>
            <w:r w:rsidR="008363D1" w:rsidRPr="008363D1">
              <w:rPr>
                <w:b/>
                <w:bCs/>
                <w:color w:val="FF0000"/>
                <w:sz w:val="20"/>
                <w:szCs w:val="20"/>
              </w:rPr>
              <w:t>1202513</w:t>
            </w:r>
            <w:r w:rsidR="00D24587">
              <w:rPr>
                <w:b/>
                <w:bCs/>
                <w:color w:val="FF0000"/>
                <w:sz w:val="20"/>
                <w:szCs w:val="20"/>
              </w:rPr>
              <w:t>9</w:t>
            </w:r>
            <w:r w:rsidR="00913368" w:rsidRPr="005912E1">
              <w:rPr>
                <w:b/>
                <w:bCs/>
                <w:sz w:val="20"/>
                <w:szCs w:val="20"/>
              </w:rPr>
              <w:t>“</w:t>
            </w:r>
            <w:r w:rsidR="00913368">
              <w:rPr>
                <w:b/>
                <w:sz w:val="16"/>
                <w:szCs w:val="16"/>
              </w:rPr>
              <w:t xml:space="preserve"> </w:t>
            </w:r>
            <w:r w:rsidR="00913368" w:rsidRPr="00C91907">
              <w:rPr>
                <w:sz w:val="16"/>
                <w:szCs w:val="16"/>
              </w:rPr>
              <w:t>(otsuse nr lehe ülaservas)</w:t>
            </w:r>
            <w:r w:rsidR="00913368" w:rsidRPr="00E93529">
              <w:rPr>
                <w:b/>
                <w:sz w:val="16"/>
                <w:szCs w:val="16"/>
              </w:rPr>
              <w:t>.</w:t>
            </w:r>
            <w:r w:rsidR="00913368" w:rsidRPr="00E93529">
              <w:rPr>
                <w:sz w:val="16"/>
                <w:szCs w:val="16"/>
              </w:rPr>
              <w:t xml:space="preserve"> Otsus pööratakse </w:t>
            </w:r>
            <w:r w:rsidR="00913368" w:rsidRPr="00F17775">
              <w:rPr>
                <w:sz w:val="16"/>
                <w:szCs w:val="16"/>
              </w:rPr>
              <w:t>sund</w:t>
            </w:r>
            <w:r w:rsidR="00913368" w:rsidRPr="00E93529">
              <w:rPr>
                <w:sz w:val="16"/>
                <w:szCs w:val="16"/>
              </w:rPr>
              <w:t xml:space="preserve">täitmisele kui isik ei ole </w:t>
            </w:r>
            <w:r>
              <w:rPr>
                <w:sz w:val="16"/>
                <w:szCs w:val="16"/>
              </w:rPr>
              <w:t>4</w:t>
            </w:r>
            <w:r w:rsidR="00913368" w:rsidRPr="00E93529">
              <w:rPr>
                <w:sz w:val="16"/>
                <w:szCs w:val="16"/>
              </w:rPr>
              <w:t>5 päeva jooksul otsuse kättesaamisest mõjutustrahvi täies ulatuses tasunud või otsust vaidlustanud.</w:t>
            </w:r>
            <w:r w:rsidR="00913368">
              <w:rPr>
                <w:sz w:val="16"/>
                <w:szCs w:val="16"/>
              </w:rPr>
              <w:t xml:space="preserve"> </w:t>
            </w:r>
            <w:r w:rsidR="00913368" w:rsidRPr="00E93529">
              <w:rPr>
                <w:sz w:val="16"/>
                <w:szCs w:val="16"/>
              </w:rPr>
              <w:t>Lühimenetlusele allutatud isiku nõusolekul talle lühimenetluse otsuse elektrooniline edastamine ei muuda vaidlustamise ega mõjutustrahvi tasumise tähtaega.</w:t>
            </w:r>
          </w:p>
        </w:tc>
      </w:tr>
      <w:tr w:rsidR="00EC707D" w14:paraId="303B8D6D" w14:textId="77777777" w:rsidTr="00C02FB4">
        <w:trPr>
          <w:trHeight w:val="666"/>
        </w:trPr>
        <w:tc>
          <w:tcPr>
            <w:tcW w:w="5098" w:type="dxa"/>
            <w:gridSpan w:val="4"/>
            <w:vAlign w:val="center"/>
          </w:tcPr>
          <w:p w14:paraId="7BA95FF0" w14:textId="77777777" w:rsidR="00BB342D" w:rsidRDefault="00BB342D" w:rsidP="008F6025"/>
          <w:p w14:paraId="5705CB58" w14:textId="059A28EE" w:rsidR="005912E1" w:rsidRDefault="00316E49" w:rsidP="005912E1">
            <w:r w:rsidRPr="00316E49">
              <w:t xml:space="preserve">Juri Marinets </w:t>
            </w:r>
            <w:r w:rsidR="005912E1" w:rsidRPr="003D0EBD">
              <w:t>/ digitaalselt</w:t>
            </w:r>
            <w:r w:rsidR="005912E1">
              <w:t xml:space="preserve"> </w:t>
            </w:r>
            <w:r w:rsidR="005912E1" w:rsidRPr="003D0EBD">
              <w:t>allkirjastatud/</w:t>
            </w:r>
          </w:p>
          <w:p w14:paraId="0C5CF703" w14:textId="1456DC71" w:rsidR="00EC707D" w:rsidRDefault="00EC707D" w:rsidP="008F6025">
            <w:r>
              <w:t>…………………………………………………………………</w:t>
            </w:r>
          </w:p>
          <w:p w14:paraId="657CD679" w14:textId="77777777" w:rsidR="00EC707D" w:rsidRPr="00EC707D" w:rsidRDefault="00EC707D" w:rsidP="008F6025">
            <w:pPr>
              <w:rPr>
                <w:sz w:val="16"/>
                <w:szCs w:val="16"/>
              </w:rPr>
            </w:pPr>
            <w:r w:rsidRPr="00EC707D">
              <w:rPr>
                <w:sz w:val="16"/>
                <w:szCs w:val="16"/>
              </w:rPr>
              <w:t>Otsuse teinud kohtuvälise menetleja ametnik ja allkiri</w:t>
            </w:r>
          </w:p>
        </w:tc>
        <w:tc>
          <w:tcPr>
            <w:tcW w:w="6237" w:type="dxa"/>
            <w:gridSpan w:val="3"/>
            <w:vAlign w:val="center"/>
          </w:tcPr>
          <w:p w14:paraId="013CDC7E" w14:textId="1F072EEA" w:rsidR="00EC707D" w:rsidRPr="00704A35" w:rsidRDefault="00D24587" w:rsidP="008F6025">
            <w:pPr>
              <w:rPr>
                <w:highlight w:val="yellow"/>
              </w:rPr>
            </w:pPr>
            <w:r w:rsidRPr="00D24587">
              <w:t xml:space="preserve">Raimo Harik </w:t>
            </w:r>
            <w:r w:rsidR="005912E1" w:rsidRPr="00704A35">
              <w:rPr>
                <w:highlight w:val="yellow"/>
              </w:rPr>
              <w:t>/ digitaalselt allkirjastatud/</w:t>
            </w:r>
            <w:r w:rsidR="00EC707D" w:rsidRPr="00704A35">
              <w:rPr>
                <w:highlight w:val="yellow"/>
              </w:rPr>
              <w:t xml:space="preserve"> __</w:t>
            </w:r>
            <w:r w:rsidR="002B0591">
              <w:rPr>
                <w:highlight w:val="yellow"/>
              </w:rPr>
              <w:t>09</w:t>
            </w:r>
            <w:r w:rsidR="00EC707D" w:rsidRPr="00704A35">
              <w:rPr>
                <w:highlight w:val="yellow"/>
              </w:rPr>
              <w:t>_ _</w:t>
            </w:r>
            <w:r w:rsidR="002B0591">
              <w:rPr>
                <w:highlight w:val="yellow"/>
              </w:rPr>
              <w:t>04</w:t>
            </w:r>
            <w:r w:rsidR="00EC707D" w:rsidRPr="00704A35">
              <w:rPr>
                <w:highlight w:val="yellow"/>
              </w:rPr>
              <w:t>_____ 20</w:t>
            </w:r>
            <w:r w:rsidR="002B0591">
              <w:rPr>
                <w:highlight w:val="yellow"/>
              </w:rPr>
              <w:t>25</w:t>
            </w:r>
            <w:r w:rsidR="00EC707D" w:rsidRPr="00704A35">
              <w:rPr>
                <w:highlight w:val="yellow"/>
              </w:rPr>
              <w:t>__a</w:t>
            </w:r>
          </w:p>
          <w:p w14:paraId="16E37CE8" w14:textId="77777777" w:rsidR="00EC707D" w:rsidRPr="00EC707D" w:rsidRDefault="00EC707D" w:rsidP="008F6025">
            <w:pPr>
              <w:rPr>
                <w:sz w:val="16"/>
                <w:szCs w:val="16"/>
              </w:rPr>
            </w:pPr>
            <w:r w:rsidRPr="00704A35">
              <w:rPr>
                <w:sz w:val="16"/>
                <w:szCs w:val="16"/>
                <w:highlight w:val="yellow"/>
              </w:rPr>
              <w:t>Allkiri otsuse kättesaamise kohta ja kuupäev</w:t>
            </w:r>
          </w:p>
        </w:tc>
      </w:tr>
    </w:tbl>
    <w:p w14:paraId="79F0BFA5" w14:textId="77777777" w:rsidR="00093E71" w:rsidRPr="00093E71" w:rsidRDefault="00455C52" w:rsidP="00093E71">
      <w:pPr>
        <w:rPr>
          <w:rFonts w:ascii="Calibri" w:eastAsia="Calibri" w:hAnsi="Calibri" w:cs="Times New Roman"/>
          <w:sz w:val="20"/>
          <w:szCs w:val="20"/>
        </w:rPr>
      </w:pPr>
      <w:r>
        <w:rPr>
          <w:sz w:val="20"/>
          <w:szCs w:val="20"/>
        </w:rPr>
        <w:br w:type="page"/>
      </w:r>
      <w:r w:rsidR="00093E71">
        <w:rPr>
          <w:sz w:val="20"/>
          <w:szCs w:val="20"/>
        </w:rPr>
        <w:lastRenderedPageBreak/>
        <w:t xml:space="preserve"> </w:t>
      </w:r>
      <w:bookmarkStart w:id="0" w:name="_Hlk147395212"/>
      <w:r w:rsidR="00093E71" w:rsidRPr="00093E71">
        <w:rPr>
          <w:rFonts w:ascii="Calibri" w:eastAsia="Calibri" w:hAnsi="Calibri" w:cs="Times New Roman"/>
          <w:sz w:val="20"/>
          <w:szCs w:val="20"/>
          <w:u w:val="single"/>
        </w:rPr>
        <w:t>Väärteo kvalifikatsioon</w:t>
      </w:r>
    </w:p>
    <w:bookmarkEnd w:id="0"/>
    <w:p w14:paraId="23F514D4" w14:textId="77777777" w:rsidR="00093E71" w:rsidRPr="00093E71" w:rsidRDefault="00093E71" w:rsidP="00093E71">
      <w:pPr>
        <w:spacing w:line="256" w:lineRule="auto"/>
        <w:jc w:val="both"/>
        <w:rPr>
          <w:rFonts w:ascii="Calibri" w:eastAsia="Calibri" w:hAnsi="Calibri" w:cs="Times New Roman"/>
          <w:sz w:val="20"/>
          <w:szCs w:val="20"/>
        </w:rPr>
      </w:pPr>
      <w:r w:rsidRPr="00093E71">
        <w:rPr>
          <w:rFonts w:ascii="Calibri" w:eastAsia="Calibri" w:hAnsi="Calibri" w:cs="Times New Roman"/>
          <w:b/>
          <w:bCs/>
          <w:sz w:val="20"/>
          <w:szCs w:val="20"/>
        </w:rPr>
        <w:t>Tuleohutuse seadus (TuOS) § 44 lg 1</w:t>
      </w:r>
      <w:r w:rsidRPr="00093E71">
        <w:rPr>
          <w:rFonts w:ascii="Calibri" w:eastAsia="Calibri" w:hAnsi="Calibri" w:cs="Times New Roman"/>
          <w:sz w:val="20"/>
          <w:szCs w:val="20"/>
        </w:rPr>
        <w:t xml:space="preserve"> </w:t>
      </w:r>
      <w:r w:rsidRPr="00093E71">
        <w:rPr>
          <w:rFonts w:ascii="Calibri" w:eastAsia="Calibri" w:hAnsi="Calibri" w:cs="Times New Roman"/>
          <w:b/>
          <w:bCs/>
          <w:sz w:val="20"/>
          <w:szCs w:val="20"/>
        </w:rPr>
        <w:t xml:space="preserve">Ehitise, küttesüsteemi, tuletöö või seadme tuleohutusnõuete, samuti koldevälise tule või grillimise tuleohutusnõuete rikkumise eest, kui sellega kaasnes tulekahju või </w:t>
      </w:r>
      <w:r w:rsidRPr="00091E30">
        <w:rPr>
          <w:rFonts w:ascii="Calibri" w:eastAsia="Calibri" w:hAnsi="Calibri" w:cs="Times New Roman"/>
          <w:b/>
          <w:bCs/>
          <w:color w:val="FF0000"/>
          <w:sz w:val="20"/>
          <w:szCs w:val="20"/>
        </w:rPr>
        <w:t>tulekahju tekkimise oht või takistati ohutut evakuatsiooni</w:t>
      </w:r>
      <w:r w:rsidRPr="00091E30">
        <w:rPr>
          <w:rFonts w:ascii="Calibri" w:eastAsia="Calibri" w:hAnsi="Calibri" w:cs="Times New Roman"/>
          <w:color w:val="FF0000"/>
          <w:sz w:val="20"/>
          <w:szCs w:val="20"/>
        </w:rPr>
        <w:t xml:space="preserve">. </w:t>
      </w:r>
    </w:p>
    <w:p w14:paraId="0C2CD479" w14:textId="77777777" w:rsidR="00093E71" w:rsidRPr="00093E71" w:rsidRDefault="00093E71" w:rsidP="00093E71">
      <w:pPr>
        <w:spacing w:line="256" w:lineRule="auto"/>
        <w:jc w:val="both"/>
        <w:rPr>
          <w:rFonts w:ascii="Calibri" w:eastAsia="Calibri" w:hAnsi="Calibri" w:cs="Times New Roman"/>
          <w:sz w:val="20"/>
          <w:szCs w:val="20"/>
          <w:u w:val="single"/>
        </w:rPr>
      </w:pPr>
      <w:r w:rsidRPr="00093E71">
        <w:rPr>
          <w:rFonts w:ascii="Calibri" w:eastAsia="Calibri" w:hAnsi="Calibri" w:cs="Times New Roman"/>
          <w:sz w:val="20"/>
          <w:szCs w:val="20"/>
          <w:u w:val="single"/>
        </w:rPr>
        <w:t>Rikutud õigusnorm</w:t>
      </w:r>
    </w:p>
    <w:p w14:paraId="2EDFD610" w14:textId="77777777" w:rsidR="00093E71" w:rsidRPr="00093E71" w:rsidRDefault="00093E71" w:rsidP="00093E71">
      <w:pPr>
        <w:spacing w:line="256" w:lineRule="auto"/>
        <w:jc w:val="both"/>
        <w:rPr>
          <w:rFonts w:ascii="Calibri" w:eastAsia="Calibri" w:hAnsi="Calibri" w:cs="Times New Roman"/>
          <w:sz w:val="20"/>
          <w:szCs w:val="20"/>
        </w:rPr>
      </w:pPr>
      <w:r w:rsidRPr="00093E71">
        <w:rPr>
          <w:rFonts w:ascii="Calibri" w:eastAsia="Calibri" w:hAnsi="Calibri" w:cs="Times New Roman"/>
          <w:sz w:val="20"/>
          <w:szCs w:val="20"/>
        </w:rPr>
        <w:t>TuOS § 5 lg 3 Ehitise kasutamisel tuleb tagada, et suitsu ja tule leviku takistamiseks ette nähtud ehitise osa täidaks oma otstarvet</w:t>
      </w:r>
    </w:p>
    <w:p w14:paraId="5C23EED0" w14:textId="77777777" w:rsidR="00093E71" w:rsidRPr="00093E71" w:rsidRDefault="00093E71" w:rsidP="00093E71">
      <w:pPr>
        <w:spacing w:line="256" w:lineRule="auto"/>
        <w:jc w:val="both"/>
        <w:rPr>
          <w:rFonts w:ascii="Calibri" w:eastAsia="Calibri" w:hAnsi="Calibri" w:cs="Times New Roman"/>
          <w:sz w:val="20"/>
          <w:szCs w:val="20"/>
        </w:rPr>
      </w:pPr>
      <w:r w:rsidRPr="00093E71">
        <w:rPr>
          <w:rFonts w:ascii="Calibri" w:eastAsia="Calibri" w:hAnsi="Calibri" w:cs="Times New Roman"/>
          <w:sz w:val="20"/>
          <w:szCs w:val="20"/>
        </w:rPr>
        <w:t>TuOS § 5 lg 4 Suitsetamisel, lahtise leegi, seadmete ja paigaldiste kasutamisel ning muu tuleohtliku tegevuse tegemisel peab välistama tulekahju ohu ja tulekahju tekkimise.</w:t>
      </w:r>
    </w:p>
    <w:p w14:paraId="698D9AF2" w14:textId="77777777" w:rsidR="00093E71" w:rsidRPr="008363D1" w:rsidRDefault="00093E71" w:rsidP="00093E71">
      <w:pPr>
        <w:spacing w:line="256" w:lineRule="auto"/>
        <w:jc w:val="both"/>
        <w:rPr>
          <w:rFonts w:ascii="Calibri" w:eastAsia="Calibri" w:hAnsi="Calibri" w:cs="Times New Roman"/>
          <w:color w:val="FF0000"/>
          <w:sz w:val="20"/>
          <w:szCs w:val="20"/>
        </w:rPr>
      </w:pPr>
      <w:r w:rsidRPr="008363D1">
        <w:rPr>
          <w:rFonts w:ascii="Calibri" w:eastAsia="Calibri" w:hAnsi="Calibri" w:cs="Times New Roman"/>
          <w:color w:val="FF0000"/>
          <w:sz w:val="20"/>
          <w:szCs w:val="20"/>
        </w:rPr>
        <w:t>TuOS § 6 lg 1 Piiratud kinnisasjalt või ehitisest peab olema tagatud evakuatsioon ning kergesti läbitav evakuatsioonitee</w:t>
      </w:r>
    </w:p>
    <w:p w14:paraId="787E19A4" w14:textId="77777777" w:rsidR="00093E71" w:rsidRPr="00093E71" w:rsidRDefault="00093E71" w:rsidP="00093E71">
      <w:pPr>
        <w:spacing w:line="256" w:lineRule="auto"/>
        <w:jc w:val="both"/>
        <w:rPr>
          <w:rFonts w:ascii="Calibri" w:eastAsia="Calibri" w:hAnsi="Calibri" w:cs="Times New Roman"/>
          <w:sz w:val="20"/>
          <w:szCs w:val="20"/>
        </w:rPr>
      </w:pPr>
      <w:r w:rsidRPr="00093E71">
        <w:rPr>
          <w:rFonts w:ascii="Calibri" w:eastAsia="Calibri" w:hAnsi="Calibri" w:cs="Times New Roman"/>
          <w:sz w:val="20"/>
          <w:szCs w:val="20"/>
        </w:rPr>
        <w:t>TuOS § 8 lg 4 Kasutada võib üksnes tehniliselt korras, terviklikku ja ohutut küttesüsteemi.</w:t>
      </w:r>
    </w:p>
    <w:p w14:paraId="18AA9FB8" w14:textId="77777777" w:rsidR="00093E71" w:rsidRPr="00093E71" w:rsidRDefault="00093E71" w:rsidP="00093E71">
      <w:pPr>
        <w:spacing w:line="256" w:lineRule="auto"/>
        <w:jc w:val="both"/>
        <w:rPr>
          <w:rFonts w:ascii="Calibri" w:eastAsia="Calibri" w:hAnsi="Calibri" w:cs="Times New Roman"/>
          <w:sz w:val="20"/>
          <w:szCs w:val="20"/>
        </w:rPr>
      </w:pPr>
      <w:r w:rsidRPr="00093E71">
        <w:rPr>
          <w:rFonts w:ascii="Calibri" w:eastAsia="Calibri" w:hAnsi="Calibri" w:cs="Times New Roman"/>
          <w:sz w:val="20"/>
          <w:szCs w:val="20"/>
        </w:rPr>
        <w:t>TuOS § 8 lg 6 Kui küttesüsteemi kasutamisel tekib tahma, peab korstnat ja ühenduslõõri puhastama vastavalt vajadusele, kuid mitte harvemini kui küttesüsteemi dokumentatsioonis on ette nähtud. Puhastamissagedus peab välistama tahmapõlengu ohu. Korstna ja ühenduslõõri puhastamisel lähtutakse käesoleva seaduse § 11 nõuetest.</w:t>
      </w:r>
    </w:p>
    <w:p w14:paraId="64BE0220" w14:textId="77777777" w:rsidR="00093E71" w:rsidRPr="00093E71" w:rsidRDefault="00093E71" w:rsidP="00093E71">
      <w:pPr>
        <w:spacing w:line="256" w:lineRule="auto"/>
        <w:jc w:val="both"/>
        <w:rPr>
          <w:rFonts w:ascii="Calibri" w:eastAsia="Calibri" w:hAnsi="Calibri" w:cs="Times New Roman"/>
          <w:sz w:val="20"/>
          <w:szCs w:val="20"/>
        </w:rPr>
      </w:pPr>
      <w:r w:rsidRPr="00093E71">
        <w:rPr>
          <w:rFonts w:ascii="Calibri" w:eastAsia="Calibri" w:hAnsi="Calibri" w:cs="Times New Roman"/>
          <w:sz w:val="20"/>
          <w:szCs w:val="20"/>
        </w:rPr>
        <w:t>TuOS § 10 lg 3 Kütus või põlevmaterjal tuleb ahju, kamina või pliidi kasutamisel paigutada neist ohutusse kaugusesse.</w:t>
      </w:r>
    </w:p>
    <w:p w14:paraId="68646CE0" w14:textId="77777777" w:rsidR="00093E71" w:rsidRPr="00093E71" w:rsidRDefault="00093E71" w:rsidP="00093E71">
      <w:pPr>
        <w:spacing w:line="256" w:lineRule="auto"/>
        <w:jc w:val="both"/>
        <w:rPr>
          <w:rFonts w:ascii="Calibri" w:eastAsia="Calibri" w:hAnsi="Calibri" w:cs="Times New Roman"/>
          <w:sz w:val="20"/>
          <w:szCs w:val="20"/>
        </w:rPr>
      </w:pPr>
      <w:r w:rsidRPr="00093E71">
        <w:rPr>
          <w:rFonts w:ascii="Calibri" w:eastAsia="Calibri" w:hAnsi="Calibri" w:cs="Times New Roman"/>
          <w:sz w:val="20"/>
          <w:szCs w:val="20"/>
        </w:rPr>
        <w:t>TuOS § 15 lg 1 Küttekoldevälise tule tegemise ja grillimise koha ümbrus peab olema puhastatud selliselt, et oleks takistatud tule levik.</w:t>
      </w:r>
    </w:p>
    <w:p w14:paraId="6FB1B2C0" w14:textId="77777777" w:rsidR="00093E71" w:rsidRPr="00093E71" w:rsidRDefault="00093E71" w:rsidP="00093E71">
      <w:pPr>
        <w:spacing w:line="256" w:lineRule="auto"/>
        <w:jc w:val="both"/>
        <w:rPr>
          <w:rFonts w:ascii="Calibri" w:eastAsia="Calibri" w:hAnsi="Calibri" w:cs="Times New Roman"/>
          <w:sz w:val="20"/>
          <w:szCs w:val="20"/>
        </w:rPr>
      </w:pPr>
      <w:r w:rsidRPr="00093E71">
        <w:rPr>
          <w:rFonts w:ascii="Calibri" w:eastAsia="Calibri" w:hAnsi="Calibri" w:cs="Times New Roman"/>
          <w:sz w:val="20"/>
          <w:szCs w:val="20"/>
        </w:rPr>
        <w:t>TuOS § 15 lg 2 Küttekoldevälise tule tegemisel ja grillimisel tuleb arvestada ümbruse ja ilmastikutingimuste mõju tuletegemise ohutusele.</w:t>
      </w:r>
    </w:p>
    <w:p w14:paraId="0F2366BD" w14:textId="77777777" w:rsidR="00093E71" w:rsidRPr="00093E71" w:rsidRDefault="00093E71" w:rsidP="00093E71">
      <w:pPr>
        <w:spacing w:line="256" w:lineRule="auto"/>
        <w:jc w:val="both"/>
        <w:rPr>
          <w:rFonts w:ascii="Calibri" w:eastAsia="Calibri" w:hAnsi="Calibri" w:cs="Times New Roman"/>
          <w:sz w:val="20"/>
          <w:szCs w:val="20"/>
        </w:rPr>
      </w:pPr>
      <w:r w:rsidRPr="00093E71">
        <w:rPr>
          <w:rFonts w:ascii="Calibri" w:eastAsia="Calibri" w:hAnsi="Calibri" w:cs="Times New Roman"/>
          <w:sz w:val="20"/>
          <w:szCs w:val="20"/>
        </w:rPr>
        <w:t>TuOS § 15 lg 4 Lõkke tegemisel ja grillseadme kasutamisel tuleb tagada pidev järelevalve. Pärast lõkke tegemist või grillseadme kasutamist tuleb põlemisjäägid lasta täielikult ära põleda, summutada või kustutada need veega.</w:t>
      </w:r>
    </w:p>
    <w:p w14:paraId="5C292538" w14:textId="77777777" w:rsidR="00093E71" w:rsidRPr="00093E71" w:rsidRDefault="00093E71" w:rsidP="00093E71">
      <w:pPr>
        <w:spacing w:line="256" w:lineRule="auto"/>
        <w:jc w:val="both"/>
        <w:rPr>
          <w:rFonts w:ascii="Calibri" w:eastAsia="Calibri" w:hAnsi="Calibri" w:cs="Times New Roman"/>
          <w:sz w:val="12"/>
          <w:szCs w:val="12"/>
          <w:u w:val="single"/>
        </w:rPr>
      </w:pPr>
    </w:p>
    <w:p w14:paraId="3185B6E7" w14:textId="77777777" w:rsidR="00093E71" w:rsidRPr="00093E71" w:rsidRDefault="00093E71" w:rsidP="00093E71">
      <w:pPr>
        <w:spacing w:line="256" w:lineRule="auto"/>
        <w:jc w:val="both"/>
        <w:rPr>
          <w:rFonts w:ascii="Calibri" w:eastAsia="Calibri" w:hAnsi="Calibri" w:cs="Times New Roman"/>
          <w:sz w:val="20"/>
          <w:szCs w:val="20"/>
          <w:u w:val="single"/>
        </w:rPr>
      </w:pPr>
      <w:r w:rsidRPr="00093E71">
        <w:rPr>
          <w:rFonts w:ascii="Calibri" w:eastAsia="Calibri" w:hAnsi="Calibri" w:cs="Times New Roman"/>
          <w:sz w:val="20"/>
          <w:szCs w:val="20"/>
          <w:u w:val="single"/>
        </w:rPr>
        <w:t>Väärteo kvalifikatsioon</w:t>
      </w:r>
    </w:p>
    <w:p w14:paraId="71C6826C" w14:textId="77777777" w:rsidR="00093E71" w:rsidRPr="00093E71" w:rsidRDefault="00093E71" w:rsidP="00093E71">
      <w:pPr>
        <w:spacing w:line="256" w:lineRule="auto"/>
        <w:jc w:val="both"/>
        <w:rPr>
          <w:rFonts w:ascii="Calibri" w:eastAsia="Calibri" w:hAnsi="Calibri" w:cs="Times New Roman"/>
          <w:sz w:val="20"/>
          <w:szCs w:val="20"/>
        </w:rPr>
      </w:pPr>
      <w:r w:rsidRPr="00093E71">
        <w:rPr>
          <w:rFonts w:ascii="Calibri" w:eastAsia="Calibri" w:hAnsi="Calibri" w:cs="Times New Roman"/>
          <w:b/>
          <w:bCs/>
          <w:sz w:val="20"/>
          <w:szCs w:val="20"/>
        </w:rPr>
        <w:t>Tuleohutuse seadus § 50 lg 1</w:t>
      </w:r>
      <w:r w:rsidRPr="00093E71">
        <w:rPr>
          <w:rFonts w:ascii="Calibri" w:eastAsia="Calibri" w:hAnsi="Calibri" w:cs="Times New Roman"/>
          <w:sz w:val="20"/>
          <w:szCs w:val="20"/>
        </w:rPr>
        <w:t xml:space="preserve"> </w:t>
      </w:r>
      <w:r w:rsidRPr="00093E71">
        <w:rPr>
          <w:rFonts w:ascii="Calibri" w:eastAsia="Calibri" w:hAnsi="Calibri" w:cs="Times New Roman"/>
          <w:b/>
          <w:bCs/>
          <w:sz w:val="20"/>
          <w:szCs w:val="20"/>
        </w:rPr>
        <w:t>Tuleohutuspaigaldise projekteerimis-, paigaldamis-, kontrollimis- ja hooldamisnõuete rikkumise eest</w:t>
      </w:r>
      <w:r w:rsidRPr="00093E71">
        <w:rPr>
          <w:rFonts w:ascii="Calibri" w:eastAsia="Calibri" w:hAnsi="Calibri" w:cs="Times New Roman"/>
          <w:sz w:val="20"/>
          <w:szCs w:val="20"/>
        </w:rPr>
        <w:t xml:space="preserve">. </w:t>
      </w:r>
    </w:p>
    <w:p w14:paraId="67866683" w14:textId="77777777" w:rsidR="00093E71" w:rsidRPr="00093E71" w:rsidRDefault="00093E71" w:rsidP="00093E71">
      <w:pPr>
        <w:spacing w:line="256" w:lineRule="auto"/>
        <w:jc w:val="both"/>
        <w:rPr>
          <w:rFonts w:ascii="Calibri" w:eastAsia="Calibri" w:hAnsi="Calibri" w:cs="Times New Roman"/>
          <w:sz w:val="20"/>
          <w:szCs w:val="20"/>
          <w:u w:val="single"/>
        </w:rPr>
      </w:pPr>
      <w:r w:rsidRPr="00093E71">
        <w:rPr>
          <w:rFonts w:ascii="Calibri" w:eastAsia="Calibri" w:hAnsi="Calibri" w:cs="Times New Roman"/>
          <w:sz w:val="20"/>
          <w:szCs w:val="20"/>
          <w:u w:val="single"/>
        </w:rPr>
        <w:t>Rikutud õigusnorm</w:t>
      </w:r>
    </w:p>
    <w:p w14:paraId="2A17A468" w14:textId="77777777" w:rsidR="00093E71" w:rsidRPr="00093E71" w:rsidRDefault="00093E71" w:rsidP="00093E7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eastAsia="Calibri" w:hAnsi="Calibri" w:cs="Calibri"/>
          <w:color w:val="000000"/>
          <w:sz w:val="20"/>
          <w:szCs w:val="20"/>
          <w:u w:val="single"/>
        </w:rPr>
      </w:pPr>
      <w:r w:rsidRPr="00093E71">
        <w:rPr>
          <w:rFonts w:ascii="Calibri" w:eastAsia="Calibri" w:hAnsi="Calibri" w:cs="Calibri"/>
          <w:color w:val="000000"/>
          <w:sz w:val="20"/>
          <w:szCs w:val="20"/>
          <w:u w:val="single"/>
        </w:rPr>
        <w:t xml:space="preserve">Suitsuanduri või vingugaasianduri </w:t>
      </w:r>
      <w:r w:rsidRPr="00093E71">
        <w:rPr>
          <w:rFonts w:ascii="Calibri" w:eastAsia="Calibri" w:hAnsi="Calibri" w:cs="Calibri"/>
          <w:b/>
          <w:bCs/>
          <w:color w:val="000000"/>
          <w:sz w:val="20"/>
          <w:szCs w:val="20"/>
          <w:u w:val="single"/>
        </w:rPr>
        <w:t>toimepidevus või olemasolu tagamata</w:t>
      </w:r>
      <w:r w:rsidRPr="00093E71">
        <w:rPr>
          <w:rFonts w:ascii="Calibri" w:eastAsia="Calibri" w:hAnsi="Calibri" w:cs="Calibri"/>
          <w:color w:val="000000"/>
          <w:sz w:val="20"/>
          <w:szCs w:val="20"/>
          <w:u w:val="single"/>
        </w:rPr>
        <w:t xml:space="preserve"> </w:t>
      </w:r>
    </w:p>
    <w:p w14:paraId="680AE413" w14:textId="77777777" w:rsidR="00093E71" w:rsidRPr="00093E71" w:rsidRDefault="00093E71" w:rsidP="00093E7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eastAsia="Calibri" w:hAnsi="Calibri" w:cs="Calibri"/>
          <w:i/>
          <w:iCs/>
          <w:color w:val="000000"/>
          <w:sz w:val="12"/>
          <w:szCs w:val="12"/>
        </w:rPr>
      </w:pPr>
    </w:p>
    <w:p w14:paraId="04DC92E2" w14:textId="77777777" w:rsidR="00093E71" w:rsidRPr="00093E71" w:rsidRDefault="00093E71" w:rsidP="00093E71">
      <w:pPr>
        <w:pBdr>
          <w:top w:val="single" w:sz="4" w:space="1" w:color="auto"/>
          <w:left w:val="single" w:sz="4" w:space="4" w:color="auto"/>
          <w:bottom w:val="single" w:sz="4" w:space="1" w:color="auto"/>
          <w:right w:val="single" w:sz="4" w:space="4" w:color="auto"/>
        </w:pBdr>
        <w:spacing w:line="256" w:lineRule="auto"/>
        <w:rPr>
          <w:rFonts w:ascii="Calibri" w:eastAsia="Calibri" w:hAnsi="Calibri" w:cs="Times New Roman"/>
          <w:sz w:val="20"/>
          <w:szCs w:val="20"/>
        </w:rPr>
      </w:pPr>
      <w:bookmarkStart w:id="1" w:name="_Hlk147394826"/>
      <w:r w:rsidRPr="008363D1">
        <w:rPr>
          <w:rFonts w:ascii="Calibri" w:eastAsia="Calibri" w:hAnsi="Calibri" w:cs="Times New Roman"/>
          <w:color w:val="FF0000"/>
          <w:sz w:val="20"/>
          <w:szCs w:val="20"/>
        </w:rPr>
        <w:t>TuOS</w:t>
      </w:r>
      <w:bookmarkEnd w:id="1"/>
      <w:r w:rsidRPr="008363D1">
        <w:rPr>
          <w:rFonts w:ascii="Calibri" w:eastAsia="Calibri" w:hAnsi="Calibri" w:cs="Times New Roman"/>
          <w:color w:val="FF0000"/>
          <w:sz w:val="20"/>
          <w:szCs w:val="20"/>
        </w:rPr>
        <w:t xml:space="preserve"> § 31 p 1 Tuleohutuspaigaldise </w:t>
      </w:r>
      <w:r w:rsidRPr="008363D1">
        <w:rPr>
          <w:rFonts w:ascii="Calibri" w:eastAsia="Calibri" w:hAnsi="Calibri" w:cs="Times New Roman"/>
          <w:b/>
          <w:bCs/>
          <w:color w:val="FF0000"/>
          <w:sz w:val="20"/>
          <w:szCs w:val="20"/>
        </w:rPr>
        <w:t>omanik</w:t>
      </w:r>
      <w:r w:rsidRPr="008363D1">
        <w:rPr>
          <w:rFonts w:ascii="Calibri" w:eastAsia="Calibri" w:hAnsi="Calibri" w:cs="Times New Roman"/>
          <w:color w:val="FF0000"/>
          <w:sz w:val="20"/>
          <w:szCs w:val="20"/>
        </w:rPr>
        <w:t xml:space="preserve"> peab tagama tuleohutuspaigaldise korrashoiu ja katkematu toimepidevuse</w:t>
      </w:r>
      <w:r w:rsidRPr="00093E71">
        <w:rPr>
          <w:rFonts w:ascii="Calibri" w:eastAsia="Calibri" w:hAnsi="Calibri" w:cs="Times New Roman"/>
          <w:sz w:val="20"/>
          <w:szCs w:val="20"/>
        </w:rPr>
        <w:t>.</w:t>
      </w:r>
    </w:p>
    <w:p w14:paraId="1CFBA3BF" w14:textId="77777777" w:rsidR="00093E71" w:rsidRPr="00093E71" w:rsidRDefault="00093E71" w:rsidP="00093E71">
      <w:pPr>
        <w:pBdr>
          <w:top w:val="single" w:sz="4" w:space="1" w:color="auto"/>
          <w:left w:val="single" w:sz="4" w:space="4" w:color="auto"/>
          <w:bottom w:val="single" w:sz="4" w:space="1" w:color="auto"/>
          <w:right w:val="single" w:sz="4" w:space="4" w:color="auto"/>
        </w:pBdr>
        <w:spacing w:line="256" w:lineRule="auto"/>
        <w:rPr>
          <w:rFonts w:ascii="Calibri" w:eastAsia="Calibri" w:hAnsi="Calibri" w:cs="Times New Roman"/>
          <w:sz w:val="20"/>
          <w:szCs w:val="20"/>
        </w:rPr>
      </w:pPr>
      <w:r w:rsidRPr="00093E71">
        <w:rPr>
          <w:rFonts w:ascii="Calibri" w:eastAsia="Calibri" w:hAnsi="Calibri" w:cs="Times New Roman"/>
          <w:sz w:val="20"/>
          <w:szCs w:val="20"/>
        </w:rPr>
        <w:t xml:space="preserve">TuOS § 3 lg 1 p 4 </w:t>
      </w:r>
      <w:r w:rsidRPr="00093E71">
        <w:rPr>
          <w:rFonts w:ascii="Calibri" w:eastAsia="Calibri" w:hAnsi="Calibri" w:cs="Times New Roman"/>
          <w:b/>
          <w:bCs/>
          <w:sz w:val="20"/>
          <w:szCs w:val="20"/>
        </w:rPr>
        <w:t>Isik</w:t>
      </w:r>
      <w:r w:rsidRPr="00093E71">
        <w:rPr>
          <w:rFonts w:ascii="Calibri" w:eastAsia="Calibri" w:hAnsi="Calibri" w:cs="Times New Roman"/>
          <w:sz w:val="20"/>
          <w:szCs w:val="20"/>
        </w:rPr>
        <w:t xml:space="preserve"> on kohustatud tagama ehitises nõutavate päästevahendite ja ehitises nõutavate käesoleva seaduse §-s 30 nimetatud tuleohutuspaigaldiste olemasolu ja korrashoiu.</w:t>
      </w:r>
    </w:p>
    <w:p w14:paraId="7CC5A056" w14:textId="77777777" w:rsidR="00093E71" w:rsidRPr="00093E71" w:rsidRDefault="00093E71" w:rsidP="00093E7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eastAsia="Calibri" w:hAnsi="Calibri" w:cs="Calibri"/>
          <w:color w:val="000000"/>
          <w:sz w:val="20"/>
          <w:szCs w:val="20"/>
          <w:u w:val="single"/>
        </w:rPr>
      </w:pPr>
      <w:r w:rsidRPr="00093E71">
        <w:rPr>
          <w:rFonts w:ascii="Calibri" w:eastAsia="Calibri" w:hAnsi="Calibri" w:cs="Calibri"/>
          <w:color w:val="000000"/>
          <w:sz w:val="20"/>
          <w:szCs w:val="20"/>
          <w:u w:val="single"/>
        </w:rPr>
        <w:t xml:space="preserve">Korteris või elamus </w:t>
      </w:r>
      <w:r w:rsidRPr="00093E71">
        <w:rPr>
          <w:rFonts w:ascii="Calibri" w:eastAsia="Calibri" w:hAnsi="Calibri" w:cs="Calibri"/>
          <w:b/>
          <w:bCs/>
          <w:color w:val="000000"/>
          <w:sz w:val="20"/>
          <w:szCs w:val="20"/>
          <w:u w:val="single"/>
        </w:rPr>
        <w:t>puudub suitsuandur või tahkekütusel töötava küttesüsteemi korral vingugaasiandur</w:t>
      </w:r>
    </w:p>
    <w:p w14:paraId="44A50E29" w14:textId="77777777" w:rsidR="00093E71" w:rsidRPr="00093E71" w:rsidRDefault="00093E71" w:rsidP="00093E7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eastAsia="Calibri" w:hAnsi="Times New Roman" w:cs="Times New Roman"/>
          <w:color w:val="000000"/>
          <w:sz w:val="12"/>
          <w:szCs w:val="12"/>
        </w:rPr>
      </w:pPr>
    </w:p>
    <w:p w14:paraId="0B1D0BBF" w14:textId="77777777" w:rsidR="00093E71" w:rsidRPr="00093E71" w:rsidRDefault="00093E71" w:rsidP="00093E71">
      <w:pPr>
        <w:pBdr>
          <w:top w:val="single" w:sz="4" w:space="1" w:color="auto"/>
          <w:left w:val="single" w:sz="4" w:space="4" w:color="auto"/>
          <w:bottom w:val="single" w:sz="4" w:space="1" w:color="auto"/>
          <w:right w:val="single" w:sz="4" w:space="4" w:color="auto"/>
        </w:pBdr>
        <w:spacing w:line="256" w:lineRule="auto"/>
        <w:rPr>
          <w:rFonts w:ascii="Calibri" w:eastAsia="Calibri" w:hAnsi="Calibri" w:cs="Times New Roman"/>
          <w:sz w:val="20"/>
          <w:szCs w:val="20"/>
        </w:rPr>
      </w:pPr>
      <w:r w:rsidRPr="00093E71">
        <w:rPr>
          <w:rFonts w:ascii="Calibri" w:eastAsia="Calibri" w:hAnsi="Calibri" w:cs="Times New Roman"/>
          <w:sz w:val="20"/>
          <w:szCs w:val="20"/>
        </w:rPr>
        <w:t xml:space="preserve">TuOS § 32 lg 3 Elamu või korteri </w:t>
      </w:r>
      <w:r w:rsidRPr="00093E71">
        <w:rPr>
          <w:rFonts w:ascii="Calibri" w:eastAsia="Calibri" w:hAnsi="Calibri" w:cs="Times New Roman"/>
          <w:b/>
          <w:bCs/>
          <w:sz w:val="20"/>
          <w:szCs w:val="20"/>
        </w:rPr>
        <w:t>omanik</w:t>
      </w:r>
      <w:r w:rsidRPr="00093E71">
        <w:rPr>
          <w:rFonts w:ascii="Calibri" w:eastAsia="Calibri" w:hAnsi="Calibri" w:cs="Times New Roman"/>
          <w:sz w:val="20"/>
          <w:szCs w:val="20"/>
        </w:rPr>
        <w:t xml:space="preserve"> peab elamu või korteri vähemalt ühe ruumi varustama autonoomse tulekahjusignalisatsioonianduriga. </w:t>
      </w:r>
    </w:p>
    <w:p w14:paraId="7458517C" w14:textId="77777777" w:rsidR="00093E71" w:rsidRPr="00093E71" w:rsidRDefault="00093E71" w:rsidP="00093E71">
      <w:pPr>
        <w:pBdr>
          <w:top w:val="single" w:sz="4" w:space="1" w:color="auto"/>
          <w:left w:val="single" w:sz="4" w:space="4" w:color="auto"/>
          <w:bottom w:val="single" w:sz="4" w:space="1" w:color="auto"/>
          <w:right w:val="single" w:sz="4" w:space="4" w:color="auto"/>
        </w:pBdr>
        <w:spacing w:line="256" w:lineRule="auto"/>
        <w:rPr>
          <w:rFonts w:ascii="Calibri" w:eastAsia="Calibri" w:hAnsi="Calibri" w:cs="Times New Roman"/>
          <w:sz w:val="20"/>
          <w:szCs w:val="20"/>
        </w:rPr>
      </w:pPr>
      <w:r w:rsidRPr="00093E71">
        <w:rPr>
          <w:rFonts w:ascii="Calibri" w:eastAsia="Calibri" w:hAnsi="Calibri" w:cs="Times New Roman"/>
          <w:sz w:val="20"/>
          <w:szCs w:val="20"/>
        </w:rPr>
        <w:t>TuOS § 32 lg 3</w:t>
      </w:r>
      <w:r w:rsidRPr="00093E71">
        <w:rPr>
          <w:rFonts w:ascii="Calibri" w:eastAsia="Calibri" w:hAnsi="Calibri" w:cs="Times New Roman"/>
          <w:sz w:val="20"/>
          <w:szCs w:val="20"/>
          <w:vertAlign w:val="superscript"/>
        </w:rPr>
        <w:t>1</w:t>
      </w:r>
      <w:r w:rsidRPr="00093E71">
        <w:rPr>
          <w:rFonts w:ascii="Calibri" w:eastAsia="Calibri" w:hAnsi="Calibri" w:cs="Times New Roman"/>
          <w:sz w:val="20"/>
          <w:szCs w:val="20"/>
        </w:rPr>
        <w:t xml:space="preserve"> Kui elamus või korteris on tahkekütusel töötav küttesüsteem, peab </w:t>
      </w:r>
      <w:r w:rsidRPr="00093E71">
        <w:rPr>
          <w:rFonts w:ascii="Calibri" w:eastAsia="Calibri" w:hAnsi="Calibri" w:cs="Times New Roman"/>
          <w:b/>
          <w:bCs/>
          <w:sz w:val="20"/>
          <w:szCs w:val="20"/>
        </w:rPr>
        <w:t>omanik</w:t>
      </w:r>
      <w:r w:rsidRPr="00093E71">
        <w:rPr>
          <w:rFonts w:ascii="Calibri" w:eastAsia="Calibri" w:hAnsi="Calibri" w:cs="Times New Roman"/>
          <w:sz w:val="20"/>
          <w:szCs w:val="20"/>
        </w:rPr>
        <w:t xml:space="preserve"> elamu või korteri varustama peale autonoomse tulekahjusignalisatsioonianduri ka vähemalt ühe autonoomse vingugaasianduriga. Kui eelmises lauses nimetamata hoones või hoone osas on tahkekütusel töötav küttesüsteem, peab omanik sellise hoone või hoone osa varustama vähemalt ühe nõuetekohaselt paigaldatud autonoomse vingugaasianduriga. </w:t>
      </w:r>
    </w:p>
    <w:p w14:paraId="7B3AFD9A" w14:textId="77777777" w:rsidR="00093E71" w:rsidRPr="00093E71" w:rsidRDefault="00093E71" w:rsidP="00093E71">
      <w:pPr>
        <w:spacing w:line="256" w:lineRule="auto"/>
        <w:rPr>
          <w:rFonts w:ascii="Calibri" w:eastAsia="Calibri" w:hAnsi="Calibri" w:cs="Times New Roman"/>
          <w:sz w:val="12"/>
          <w:szCs w:val="12"/>
        </w:rPr>
      </w:pPr>
    </w:p>
    <w:p w14:paraId="211FEB04" w14:textId="77777777" w:rsidR="00093E71" w:rsidRPr="00093E71" w:rsidRDefault="00093E71" w:rsidP="00093E71">
      <w:pPr>
        <w:spacing w:line="256" w:lineRule="auto"/>
        <w:rPr>
          <w:rFonts w:ascii="Calibri" w:eastAsia="Calibri" w:hAnsi="Calibri" w:cs="Times New Roman"/>
          <w:sz w:val="20"/>
          <w:szCs w:val="20"/>
        </w:rPr>
      </w:pPr>
      <w:r w:rsidRPr="00093E71">
        <w:rPr>
          <w:rFonts w:ascii="Calibri" w:eastAsia="Calibri" w:hAnsi="Calibri" w:cs="Times New Roman"/>
          <w:sz w:val="20"/>
          <w:szCs w:val="20"/>
        </w:rPr>
        <w:t>TuOS § 31 p 2 Tuleohutuspaigaldise omanik peab korraldama ettenähtud juhtudel tuleohutuspaigaldise vaatlust, kontrolli ja hooldust.</w:t>
      </w:r>
    </w:p>
    <w:p w14:paraId="6087CBD9" w14:textId="77777777" w:rsidR="00093E71" w:rsidRPr="00093E71" w:rsidRDefault="00093E71" w:rsidP="00093E71">
      <w:pPr>
        <w:spacing w:line="256" w:lineRule="auto"/>
        <w:rPr>
          <w:rFonts w:ascii="Calibri" w:eastAsia="Calibri" w:hAnsi="Calibri" w:cs="Times New Roman"/>
          <w:sz w:val="20"/>
          <w:szCs w:val="20"/>
        </w:rPr>
      </w:pPr>
      <w:r w:rsidRPr="00093E71">
        <w:rPr>
          <w:rFonts w:ascii="Calibri" w:eastAsia="Calibri" w:hAnsi="Calibri" w:cs="Times New Roman"/>
          <w:sz w:val="20"/>
          <w:szCs w:val="20"/>
        </w:rPr>
        <w:t>TuOS § 31 p 3 Tuleohutuspaigaldise omanik peab omama dokumentatsiooni tuleohutuspaigaldise ja selle kontrolli ning hoolduse kohta.</w:t>
      </w:r>
    </w:p>
    <w:p w14:paraId="54A4240A" w14:textId="77777777" w:rsidR="00093E71" w:rsidRPr="00093E71" w:rsidRDefault="00093E71" w:rsidP="00093E71">
      <w:pPr>
        <w:spacing w:line="256" w:lineRule="auto"/>
        <w:rPr>
          <w:rFonts w:ascii="Calibri" w:eastAsia="Calibri" w:hAnsi="Calibri" w:cs="Times New Roman"/>
          <w:sz w:val="20"/>
          <w:szCs w:val="20"/>
        </w:rPr>
      </w:pPr>
      <w:r w:rsidRPr="00093E71">
        <w:rPr>
          <w:rFonts w:ascii="Calibri" w:eastAsia="Calibri" w:hAnsi="Calibri" w:cs="Times New Roman"/>
          <w:sz w:val="20"/>
          <w:szCs w:val="20"/>
        </w:rPr>
        <w:t xml:space="preserve">TuOS § 32 lg 1 Tuleohutuspaigaldis tuleb projekteerida ja paigaldada ning seda kontrollida ja hooldada vastavalt tehnilisele normile ja tootja juhisele ning ohutusnõuetes ettenähtule selliselt, et tuleohutuspaigaldis täidaks oma otstarvet. Eeldatakse, et tuleohutuspaigaldis on nõuetekohane, kui selle projekteerimisel, paigaldamisel, kontrollimisel ja hooldamisel on järgitud asjakohast standardit või muud samaväärset dokumenti. </w:t>
      </w:r>
    </w:p>
    <w:p w14:paraId="3807762A" w14:textId="77777777" w:rsidR="00093E71" w:rsidRPr="00093E71" w:rsidRDefault="00093E71" w:rsidP="00093E71">
      <w:pPr>
        <w:spacing w:line="256" w:lineRule="auto"/>
        <w:rPr>
          <w:rFonts w:ascii="Calibri" w:eastAsia="Calibri" w:hAnsi="Calibri" w:cs="Times New Roman"/>
          <w:sz w:val="20"/>
          <w:szCs w:val="20"/>
        </w:rPr>
      </w:pPr>
      <w:r w:rsidRPr="00093E71">
        <w:rPr>
          <w:rFonts w:ascii="Calibri" w:eastAsia="Calibri" w:hAnsi="Calibri" w:cs="Times New Roman"/>
          <w:sz w:val="20"/>
          <w:szCs w:val="20"/>
        </w:rPr>
        <w:t>TuOS § 34 lg 2 Vastutaval spetsialistil peab olema tulekustutussüsteemi, tulekahjusignalisatsioonisüsteemi ja suitsueemaldussüsteemi projekteerimiseks, ehitamiseks ja hooldamiseks pädevus vastavalt kutsestandardile, mille kohaselt isik korraldab ressursside jagamist ja teiste tööd ning vastutab selle töö eest.</w:t>
      </w:r>
    </w:p>
    <w:p w14:paraId="114CFDA1" w14:textId="77777777" w:rsidR="00093E71" w:rsidRPr="00093E71" w:rsidRDefault="00093E71" w:rsidP="00093E71">
      <w:pPr>
        <w:spacing w:line="256" w:lineRule="auto"/>
        <w:rPr>
          <w:rFonts w:ascii="Calibri" w:eastAsia="Calibri" w:hAnsi="Calibri" w:cs="Times New Roman"/>
          <w:sz w:val="20"/>
          <w:szCs w:val="20"/>
        </w:rPr>
      </w:pPr>
      <w:r w:rsidRPr="00093E71">
        <w:rPr>
          <w:rFonts w:ascii="Calibri" w:eastAsia="Calibri" w:hAnsi="Calibri" w:cs="Times New Roman"/>
          <w:sz w:val="20"/>
          <w:szCs w:val="20"/>
        </w:rPr>
        <w:t xml:space="preserve">TuOS § 34 lg 3 Vastutaval spetsialistil peab olema tulekustuti kontrollimiseks ja hooldamiseks ning tuletõrje voolikusüsteemi kontrollimiseks ja hooldamiseks erialane ettevalmistus ning vähemalt kolmeaastane töökogemus selles valdkonnas. </w:t>
      </w:r>
    </w:p>
    <w:p w14:paraId="6A02754F" w14:textId="51AAD132" w:rsidR="002A7927" w:rsidRDefault="002A7927" w:rsidP="00093E71">
      <w:pPr>
        <w:rPr>
          <w:sz w:val="20"/>
          <w:szCs w:val="20"/>
        </w:rPr>
      </w:pPr>
    </w:p>
    <w:sectPr w:rsidR="002A7927" w:rsidSect="00BB342D">
      <w:pgSz w:w="11906" w:h="16838"/>
      <w:pgMar w:top="357" w:right="374" w:bottom="403" w:left="31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A61"/>
    <w:rsid w:val="00071D1E"/>
    <w:rsid w:val="000747F3"/>
    <w:rsid w:val="00081B78"/>
    <w:rsid w:val="00091E30"/>
    <w:rsid w:val="00093C9F"/>
    <w:rsid w:val="00093E71"/>
    <w:rsid w:val="000F3969"/>
    <w:rsid w:val="000F39E0"/>
    <w:rsid w:val="00114D74"/>
    <w:rsid w:val="001216EB"/>
    <w:rsid w:val="00142588"/>
    <w:rsid w:val="0015665C"/>
    <w:rsid w:val="001C0A96"/>
    <w:rsid w:val="001D065F"/>
    <w:rsid w:val="001F71AE"/>
    <w:rsid w:val="00246346"/>
    <w:rsid w:val="00254274"/>
    <w:rsid w:val="0027431E"/>
    <w:rsid w:val="002748CB"/>
    <w:rsid w:val="00282FE8"/>
    <w:rsid w:val="002A7927"/>
    <w:rsid w:val="002B0591"/>
    <w:rsid w:val="0031601B"/>
    <w:rsid w:val="00316E49"/>
    <w:rsid w:val="00317B6C"/>
    <w:rsid w:val="00344727"/>
    <w:rsid w:val="00374AE7"/>
    <w:rsid w:val="00390F10"/>
    <w:rsid w:val="00391EF5"/>
    <w:rsid w:val="003C52E4"/>
    <w:rsid w:val="003D053C"/>
    <w:rsid w:val="003F07D8"/>
    <w:rsid w:val="00455C52"/>
    <w:rsid w:val="0047199F"/>
    <w:rsid w:val="00484A61"/>
    <w:rsid w:val="004C3FB5"/>
    <w:rsid w:val="004D0C1E"/>
    <w:rsid w:val="004F2850"/>
    <w:rsid w:val="00520884"/>
    <w:rsid w:val="00584097"/>
    <w:rsid w:val="005912E1"/>
    <w:rsid w:val="005C7F4F"/>
    <w:rsid w:val="005D6E8E"/>
    <w:rsid w:val="005E5141"/>
    <w:rsid w:val="00600159"/>
    <w:rsid w:val="00656D14"/>
    <w:rsid w:val="006730E5"/>
    <w:rsid w:val="006E3356"/>
    <w:rsid w:val="006E7BCB"/>
    <w:rsid w:val="006F5F62"/>
    <w:rsid w:val="0070389E"/>
    <w:rsid w:val="00704A35"/>
    <w:rsid w:val="00705884"/>
    <w:rsid w:val="00775443"/>
    <w:rsid w:val="00776053"/>
    <w:rsid w:val="00786054"/>
    <w:rsid w:val="00786609"/>
    <w:rsid w:val="007F1E94"/>
    <w:rsid w:val="00822985"/>
    <w:rsid w:val="008363D1"/>
    <w:rsid w:val="00844D9C"/>
    <w:rsid w:val="00857A63"/>
    <w:rsid w:val="008A7F58"/>
    <w:rsid w:val="008D13A1"/>
    <w:rsid w:val="008E164B"/>
    <w:rsid w:val="008E7E66"/>
    <w:rsid w:val="008F2FA3"/>
    <w:rsid w:val="008F6025"/>
    <w:rsid w:val="00913368"/>
    <w:rsid w:val="0091570F"/>
    <w:rsid w:val="00917CAF"/>
    <w:rsid w:val="00920921"/>
    <w:rsid w:val="00937CA2"/>
    <w:rsid w:val="009A505D"/>
    <w:rsid w:val="009E30FB"/>
    <w:rsid w:val="009F50E4"/>
    <w:rsid w:val="00A023D9"/>
    <w:rsid w:val="00A052D0"/>
    <w:rsid w:val="00A41F54"/>
    <w:rsid w:val="00A6095E"/>
    <w:rsid w:val="00A83F87"/>
    <w:rsid w:val="00A94896"/>
    <w:rsid w:val="00AE2890"/>
    <w:rsid w:val="00B00198"/>
    <w:rsid w:val="00B02E6E"/>
    <w:rsid w:val="00B227CD"/>
    <w:rsid w:val="00B248B2"/>
    <w:rsid w:val="00B74E07"/>
    <w:rsid w:val="00B802A2"/>
    <w:rsid w:val="00BB342D"/>
    <w:rsid w:val="00BD31CC"/>
    <w:rsid w:val="00C02FB4"/>
    <w:rsid w:val="00C47DC7"/>
    <w:rsid w:val="00C6222F"/>
    <w:rsid w:val="00C91907"/>
    <w:rsid w:val="00CA20C0"/>
    <w:rsid w:val="00CB2122"/>
    <w:rsid w:val="00CD662E"/>
    <w:rsid w:val="00CE3328"/>
    <w:rsid w:val="00CF16CD"/>
    <w:rsid w:val="00CF352F"/>
    <w:rsid w:val="00D24587"/>
    <w:rsid w:val="00D24F6C"/>
    <w:rsid w:val="00D3472E"/>
    <w:rsid w:val="00D71703"/>
    <w:rsid w:val="00D843AF"/>
    <w:rsid w:val="00DC262B"/>
    <w:rsid w:val="00DF3ACD"/>
    <w:rsid w:val="00DF52F5"/>
    <w:rsid w:val="00E21937"/>
    <w:rsid w:val="00E6001B"/>
    <w:rsid w:val="00E7357C"/>
    <w:rsid w:val="00E93529"/>
    <w:rsid w:val="00EB6AA4"/>
    <w:rsid w:val="00EC707D"/>
    <w:rsid w:val="00ED1963"/>
    <w:rsid w:val="00ED3FF4"/>
    <w:rsid w:val="00F17775"/>
    <w:rsid w:val="00F325CE"/>
    <w:rsid w:val="00FB251A"/>
    <w:rsid w:val="00FC0DF0"/>
    <w:rsid w:val="00FC5744"/>
    <w:rsid w:val="00FE1C0F"/>
    <w:rsid w:val="00FE1ED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76039"/>
  <w15:chartTrackingRefBased/>
  <w15:docId w15:val="{234E402B-9274-471C-8A24-FD5F0BB68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484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C47DC7"/>
    <w:pPr>
      <w:ind w:left="720"/>
      <w:contextualSpacing/>
    </w:pPr>
  </w:style>
  <w:style w:type="character" w:styleId="Kommentaariviide">
    <w:name w:val="annotation reference"/>
    <w:basedOn w:val="Liguvaikefont"/>
    <w:uiPriority w:val="99"/>
    <w:semiHidden/>
    <w:unhideWhenUsed/>
    <w:rsid w:val="00A6095E"/>
    <w:rPr>
      <w:sz w:val="16"/>
      <w:szCs w:val="16"/>
    </w:rPr>
  </w:style>
  <w:style w:type="paragraph" w:styleId="Kommentaaritekst">
    <w:name w:val="annotation text"/>
    <w:basedOn w:val="Normaallaad"/>
    <w:link w:val="KommentaaritekstMrk"/>
    <w:uiPriority w:val="99"/>
    <w:semiHidden/>
    <w:unhideWhenUsed/>
    <w:rsid w:val="00A6095E"/>
    <w:pPr>
      <w:spacing w:line="240" w:lineRule="auto"/>
    </w:pPr>
    <w:rPr>
      <w:sz w:val="20"/>
      <w:szCs w:val="20"/>
    </w:rPr>
  </w:style>
  <w:style w:type="character" w:customStyle="1" w:styleId="KommentaaritekstMrk">
    <w:name w:val="Kommentaari tekst Märk"/>
    <w:basedOn w:val="Liguvaikefont"/>
    <w:link w:val="Kommentaaritekst"/>
    <w:uiPriority w:val="99"/>
    <w:semiHidden/>
    <w:rsid w:val="00A6095E"/>
    <w:rPr>
      <w:sz w:val="20"/>
      <w:szCs w:val="20"/>
    </w:rPr>
  </w:style>
  <w:style w:type="paragraph" w:styleId="Kommentaariteema">
    <w:name w:val="annotation subject"/>
    <w:basedOn w:val="Kommentaaritekst"/>
    <w:next w:val="Kommentaaritekst"/>
    <w:link w:val="KommentaariteemaMrk"/>
    <w:uiPriority w:val="99"/>
    <w:semiHidden/>
    <w:unhideWhenUsed/>
    <w:rsid w:val="00A6095E"/>
    <w:rPr>
      <w:b/>
      <w:bCs/>
    </w:rPr>
  </w:style>
  <w:style w:type="character" w:customStyle="1" w:styleId="KommentaariteemaMrk">
    <w:name w:val="Kommentaari teema Märk"/>
    <w:basedOn w:val="KommentaaritekstMrk"/>
    <w:link w:val="Kommentaariteema"/>
    <w:uiPriority w:val="99"/>
    <w:semiHidden/>
    <w:rsid w:val="00A6095E"/>
    <w:rPr>
      <w:b/>
      <w:bCs/>
      <w:sz w:val="20"/>
      <w:szCs w:val="20"/>
    </w:rPr>
  </w:style>
  <w:style w:type="paragraph" w:styleId="Jutumullitekst">
    <w:name w:val="Balloon Text"/>
    <w:basedOn w:val="Normaallaad"/>
    <w:link w:val="JutumullitekstMrk"/>
    <w:uiPriority w:val="99"/>
    <w:semiHidden/>
    <w:unhideWhenUsed/>
    <w:rsid w:val="00A6095E"/>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A6095E"/>
    <w:rPr>
      <w:rFonts w:ascii="Segoe UI" w:hAnsi="Segoe UI" w:cs="Segoe UI"/>
      <w:sz w:val="18"/>
      <w:szCs w:val="18"/>
    </w:rPr>
  </w:style>
  <w:style w:type="paragraph" w:customStyle="1" w:styleId="Default">
    <w:name w:val="Default"/>
    <w:rsid w:val="009A505D"/>
    <w:pPr>
      <w:autoSpaceDE w:val="0"/>
      <w:autoSpaceDN w:val="0"/>
      <w:adjustRightInd w:val="0"/>
      <w:spacing w:after="0" w:line="240" w:lineRule="auto"/>
    </w:pPr>
    <w:rPr>
      <w:rFonts w:ascii="Times New Roman" w:hAnsi="Times New Roman" w:cs="Times New Roman"/>
      <w:color w:val="000000"/>
      <w:sz w:val="24"/>
      <w:szCs w:val="24"/>
    </w:rPr>
  </w:style>
  <w:style w:type="character" w:styleId="Hperlink">
    <w:name w:val="Hyperlink"/>
    <w:basedOn w:val="Liguvaikefont"/>
    <w:uiPriority w:val="99"/>
    <w:unhideWhenUsed/>
    <w:rsid w:val="00786609"/>
    <w:rPr>
      <w:color w:val="0563C1" w:themeColor="hyperlink"/>
      <w:u w:val="single"/>
    </w:rPr>
  </w:style>
  <w:style w:type="character" w:styleId="Lahendamatamainimine">
    <w:name w:val="Unresolved Mention"/>
    <w:basedOn w:val="Liguvaikefont"/>
    <w:uiPriority w:val="99"/>
    <w:semiHidden/>
    <w:unhideWhenUsed/>
    <w:rsid w:val="00316E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6145092">
      <w:bodyDiv w:val="1"/>
      <w:marLeft w:val="0"/>
      <w:marRight w:val="0"/>
      <w:marTop w:val="0"/>
      <w:marBottom w:val="0"/>
      <w:divBdr>
        <w:top w:val="none" w:sz="0" w:space="0" w:color="auto"/>
        <w:left w:val="none" w:sz="0" w:space="0" w:color="auto"/>
        <w:bottom w:val="none" w:sz="0" w:space="0" w:color="auto"/>
        <w:right w:val="none" w:sz="0" w:space="0" w:color="auto"/>
      </w:divBdr>
    </w:div>
    <w:div w:id="105265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raimo.harik@muusika.edu.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DB7F4-AC7A-4803-BF2D-C0B699A0F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1318</Words>
  <Characters>7651</Characters>
  <Application>Microsoft Office Word</Application>
  <DocSecurity>0</DocSecurity>
  <Lines>63</Lines>
  <Paragraphs>17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Kiil</dc:creator>
  <cp:keywords/>
  <dc:description/>
  <cp:lastModifiedBy>Raimo Harik</cp:lastModifiedBy>
  <cp:revision>3</cp:revision>
  <cp:lastPrinted>2018-08-31T10:38:00Z</cp:lastPrinted>
  <dcterms:created xsi:type="dcterms:W3CDTF">2025-04-09T09:46:00Z</dcterms:created>
  <dcterms:modified xsi:type="dcterms:W3CDTF">2025-04-09T09:46:00Z</dcterms:modified>
</cp:coreProperties>
</file>